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olor w:val="0F2B3D"/>
          <w:sz w:val="48"/>
          <w:szCs w:val="48"/>
        </w:rPr>
        <w:t xml:space="preserve">Ridgeguard</w:t>
      </w:r>
    </w:p>
    <w:p>
      <w:pPr>
        <w:spacing w:after="40"/>
      </w:pPr>
      <w:r>
        <w:rPr>
          <w:rFonts w:ascii="Arial" w:cs="Arial" w:eastAsia="Arial" w:hAnsi="Arial"/>
          <w:color w:val="E86A2A"/>
          <w:sz w:val="36"/>
          <w:szCs w:val="36"/>
        </w:rPr>
        <w:t xml:space="preserve">End User Licence Agreement</w:t>
      </w:r>
    </w:p>
    <w:p>
      <w:pPr>
        <w:spacing w:after="400"/>
      </w:pPr>
      <w:r>
        <w:rPr>
          <w:rFonts w:ascii="Arial" w:cs="Arial" w:eastAsia="Arial" w:hAnsi="Arial"/>
          <w:color w:val="6B7280"/>
          <w:sz w:val="20"/>
          <w:szCs w:val="20"/>
        </w:rPr>
        <w:t xml:space="preserve">Last updated: May 2026</w:t>
      </w:r>
    </w:p>
    <w:p>
      <w:pPr>
        <w:spacing w:after="200"/>
      </w:pPr>
      <w:r>
        <w:rPr>
          <w:b/>
          <w:bCs/>
        </w:rPr>
        <w:t xml:space="preserve">IMPORTANT: </w:t>
      </w:r>
      <w:r>
        <w:t xml:space="preserve">By installing, copying, or using Ridgeguard (the "Software"), you agree to be bound by the terms of this End User Licence Agreement ("Agreement"). If you do not agree, do not install or use the Software.</w:t>
      </w:r>
    </w:p>
    <w:p>
      <w:pPr>
        <w:pStyle w:val="Heading1"/>
      </w:pPr>
      <w:r>
        <w:t xml:space="preserve">1. Definitions</w:t>
      </w:r>
    </w:p>
    <w:p>
      <w:pPr>
        <w:spacing w:after="80"/>
      </w:pPr>
      <w:r>
        <w:rPr>
          <w:b/>
          <w:bCs/>
        </w:rPr>
        <w:t xml:space="preserve">"Licensor"</w:t>
      </w:r>
      <w:r>
        <w:t xml:space="preserve"> means Ridgeline Cyber Defence, the publisher of the Software.</w:t>
      </w:r>
    </w:p>
    <w:p>
      <w:pPr>
        <w:spacing w:after="80"/>
      </w:pPr>
      <w:r>
        <w:rPr>
          <w:b/>
          <w:bCs/>
        </w:rPr>
        <w:t xml:space="preserve">"Software"</w:t>
      </w:r>
      <w:r>
        <w:t xml:space="preserve"> means the Ridgeguard desktop application, including all updates, documentation, and related materials.</w:t>
      </w:r>
    </w:p>
    <w:p>
      <w:pPr>
        <w:spacing w:after="80"/>
      </w:pPr>
      <w:r>
        <w:rPr>
          <w:b/>
          <w:bCs/>
        </w:rPr>
        <w:t xml:space="preserve">"Licensee"</w:t>
      </w:r>
      <w:r>
        <w:t xml:space="preserve"> or "you" means the individual or organisation that installs or uses the Software.</w:t>
      </w:r>
    </w:p>
    <w:p>
      <w:pPr>
        <w:spacing w:after="200"/>
      </w:pPr>
      <w:r>
        <w:rPr>
          <w:b/>
          <w:bCs/>
        </w:rPr>
        <w:t xml:space="preserve">"Licence Key"</w:t>
      </w:r>
      <w:r>
        <w:t xml:space="preserve"> means the cryptographic key provided to unlock Professional features of the Software.</w:t>
      </w:r>
    </w:p>
    <w:p>
      <w:pPr>
        <w:pStyle w:val="Heading1"/>
      </w:pPr>
      <w:r>
        <w:t xml:space="preserve">2. Licence Grant</w:t>
      </w:r>
    </w:p>
    <w:p>
      <w:pPr>
        <w:pStyle w:val="Heading2"/>
      </w:pPr>
      <w:r>
        <w:t xml:space="preserve">2.1 Community Tier</w:t>
      </w:r>
    </w:p>
    <w:p>
      <w:pPr>
        <w:spacing w:after="120"/>
      </w:pPr>
      <w:r>
        <w:t xml:space="preserve">The Licensor grants you a non-exclusive, non-transferable, royalty-free licence to install and use the Software in Community mode on any number of machines for any lawful purpose, including commercial use. Community mode includes a subset of features as described in the Software documentation.</w:t>
      </w:r>
    </w:p>
    <w:p>
      <w:pPr>
        <w:pStyle w:val="Heading2"/>
      </w:pPr>
      <w:r>
        <w:t xml:space="preserve">2.2 Evaluation Licence</w:t>
      </w:r>
    </w:p>
    <w:p>
      <w:pPr>
        <w:spacing w:after="120"/>
      </w:pPr>
      <w:r>
        <w:t xml:space="preserve">On first installation, the Software activates a 30-day evaluation licence that provides access to all Professional features. The evaluation licence is provided at no cost for the purpose of evaluating the Software. After the evaluation period, the Software reverts to Community mode unless a Professional Licence Key is activated.</w:t>
      </w:r>
    </w:p>
    <w:p>
      <w:pPr>
        <w:pStyle w:val="Heading2"/>
      </w:pPr>
      <w:r>
        <w:t xml:space="preserve">2.3 Professional Licence</w:t>
      </w:r>
    </w:p>
    <w:p>
      <w:pPr>
        <w:spacing w:after="200"/>
      </w:pPr>
      <w:r>
        <w:t xml:space="preserve">Upon purchase and activation of a Licence Key, the Licensor grants you a non-exclusive, non-transferable licence to use the Software in Professional mode on up to three (3) machines for the duration specified in the Licence Key (typically one year from activation). The licence is granted to the individual or organisation named in the purchase, not to a specific machine.</w:t>
      </w:r>
    </w:p>
    <w:p>
      <w:pPr>
        <w:pStyle w:val="Heading1"/>
      </w:pPr>
      <w:r>
        <w:t xml:space="preserve">3. Restrictions</w:t>
      </w:r>
    </w:p>
    <w:p>
      <w:pPr>
        <w:spacing w:after="80"/>
      </w:pPr>
      <w:r>
        <w:t xml:space="preserve">You may not:</w:t>
      </w:r>
    </w:p>
    <w:p>
      <w:pPr>
        <w:pStyle w:val="ListParagraph"/>
        <w:numPr>
          <w:ilvl w:val="0"/>
          <w:numId w:val="2"/>
        </w:numPr>
      </w:pPr>
      <w:r>
        <w:t xml:space="preserve">Reverse engineer, decompile, disassemble, or otherwise attempt to derive the source code of the Software, except to the extent expressly permitted by applicable law.</w:t>
      </w:r>
    </w:p>
    <w:p>
      <w:pPr>
        <w:pStyle w:val="ListParagraph"/>
        <w:numPr>
          <w:ilvl w:val="0"/>
          <w:numId w:val="2"/>
        </w:numPr>
      </w:pPr>
      <w:r>
        <w:t xml:space="preserve">Modify, adapt, translate, or create derivative works based on the Software.</w:t>
      </w:r>
    </w:p>
    <w:p>
      <w:pPr>
        <w:pStyle w:val="ListParagraph"/>
        <w:numPr>
          <w:ilvl w:val="0"/>
          <w:numId w:val="2"/>
        </w:numPr>
      </w:pPr>
      <w:r>
        <w:t xml:space="preserve">Distribute, sublicence, lease, rent, loan, or otherwise transfer the Software or Licence Key to any third party.</w:t>
      </w:r>
    </w:p>
    <w:p>
      <w:pPr>
        <w:pStyle w:val="ListParagraph"/>
        <w:numPr>
          <w:ilvl w:val="0"/>
          <w:numId w:val="2"/>
        </w:numPr>
      </w:pPr>
      <w:r>
        <w:t xml:space="preserve">Remove, alter, or obscure any proprietary notices, labels, or marks on the Software.</w:t>
      </w:r>
    </w:p>
    <w:p>
      <w:pPr>
        <w:pStyle w:val="ListParagraph"/>
        <w:numPr>
          <w:ilvl w:val="0"/>
          <w:numId w:val="2"/>
        </w:numPr>
      </w:pPr>
      <w:r>
        <w:t xml:space="preserve">Use the Software to develop a competing product or service.</w:t>
      </w:r>
    </w:p>
    <w:p>
      <w:pPr>
        <w:pStyle w:val="ListParagraph"/>
        <w:numPr>
          <w:ilvl w:val="0"/>
          <w:numId w:val="2"/>
        </w:numPr>
        <w:spacing w:after="200"/>
      </w:pPr>
      <w:r>
        <w:t xml:space="preserve">Circumvent or attempt to circumvent the licence validation or feature restrictions of the Software.</w:t>
      </w:r>
    </w:p>
    <w:p>
      <w:pPr>
        <w:pStyle w:val="Heading1"/>
      </w:pPr>
      <w:r>
        <w:t xml:space="preserve">4. Data and Privacy</w:t>
      </w:r>
    </w:p>
    <w:p>
      <w:pPr>
        <w:spacing w:after="120"/>
      </w:pPr>
      <w:r>
        <w:t xml:space="preserve">The Software stores all data locally on your machine in an encrypted database. The Licensor does not collect, access, transmit, or store any of your data. You are solely responsible for the security, backup, and protection of your data. Refer to the Ridgeguard Privacy Policy for full details.</w:t>
      </w:r>
    </w:p>
    <w:p>
      <w:pPr>
        <w:spacing w:after="200"/>
      </w:pPr>
      <w:r>
        <w:t xml:space="preserve">If you use the optional AI features, data is transmitted directly from your machine to your chosen AI provider under your own API key and your agreement with that provider. The Licensor is not a party to that data processing.</w:t>
      </w:r>
    </w:p>
    <w:p>
      <w:pPr>
        <w:pStyle w:val="Heading1"/>
      </w:pPr>
      <w:r>
        <w:t xml:space="preserve">5. Intellectual Property</w:t>
      </w:r>
    </w:p>
    <w:p>
      <w:pPr>
        <w:spacing w:after="120"/>
      </w:pPr>
      <w:r>
        <w:t xml:space="preserve">The Software, including its code, content library, templates, documentation, and design, is the intellectual property of Ridgeline Cyber Defence and is protected by copyright and other intellectual property laws. This Agreement grants you a licence to use the Software; it does not transfer ownership of the Software or any intellectual property rights to you.</w:t>
      </w:r>
    </w:p>
    <w:p>
      <w:pPr>
        <w:spacing w:after="200"/>
      </w:pPr>
      <w:r>
        <w:t xml:space="preserve">Any content you create using the Software (questionnaire responses, policies, vendor records, Trust Center pages, exports) is yours. The Licensor claims no ownership of your data or content.</w:t>
      </w:r>
    </w:p>
    <w:p>
      <w:pPr>
        <w:pStyle w:val="Heading1"/>
      </w:pPr>
      <w:r>
        <w:t xml:space="preserve">6. Warranty Disclaimer</w:t>
      </w:r>
    </w:p>
    <w:p>
      <w:pPr>
        <w:spacing w:after="200"/>
      </w:pPr>
      <w:r>
        <w:t xml:space="preserve">THE SOFTWARE IS PROVIDED "AS IS" WITHOUT WARRANTY OF ANY KIND, EXPRESS OR IMPLIED, INCLUDING BUT NOT LIMITED TO THE WARRANTIES OF MERCHANTABILITY, FITNESS FOR A PARTICULAR PURPOSE, AND NON-INFRINGEMENT. THE LICENSOR DOES NOT WARRANT THAT THE SOFTWARE WILL BE ERROR-FREE, UNINTERRUPTED, OR MEET YOUR SPECIFIC REQUIREMENTS. THE SOFTWARE DOES NOT CONSTITUTE LEGAL, COMPLIANCE, OR SECURITY ADVICE. THE LICENSOR MAKES NO WARRANTY THAT USE OF THE SOFTWARE WILL RESULT IN COMPLIANCE WITH ANY REGULATORY FRAMEWORK, CERTIFICATION, OR STANDARD.</w:t>
      </w:r>
    </w:p>
    <w:p>
      <w:pPr>
        <w:pStyle w:val="Heading1"/>
      </w:pPr>
      <w:r>
        <w:t xml:space="preserve">7. Limitation of Liability</w:t>
      </w:r>
    </w:p>
    <w:p>
      <w:pPr>
        <w:spacing w:after="200"/>
      </w:pPr>
      <w:r>
        <w:t xml:space="preserve">TO THE MAXIMUM EXTENT PERMITTED BY APPLICABLE LAW, IN NO EVENT SHALL THE LICENSOR BE LIABLE FOR ANY INDIRECT, INCIDENTAL, SPECIAL, CONSEQUENTIAL, OR PUNITIVE DAMAGES, OR ANY LOSS OF PROFITS, DATA, BUSINESS, OR GOODWILL, ARISING OUT OF OR IN CONNECTION WITH YOUR USE OF OR INABILITY TO USE THE SOFTWARE, EVEN IF THE LICENSOR HAS BEEN ADVISED OF THE POSSIBILITY OF SUCH DAMAGES. THE LICENSOR’S TOTAL AGGREGATE LIABILITY SHALL NOT EXCEED THE AMOUNT YOU PAID FOR THE SOFTWARE IN THE TWELVE (12) MONTHS PRECEDING THE CLAIM.</w:t>
      </w:r>
    </w:p>
    <w:p>
      <w:pPr>
        <w:pStyle w:val="Heading1"/>
      </w:pPr>
      <w:r>
        <w:t xml:space="preserve">8. AI Features Disclaimer</w:t>
      </w:r>
    </w:p>
    <w:p>
      <w:pPr>
        <w:spacing w:after="200"/>
      </w:pPr>
      <w:r>
        <w:t xml:space="preserve">The AI-powered features of the Software generate content based on templates, your company profile, and third-party AI models. AI-generated content may contain inaccuracies, omissions, or errors. You are solely responsible for reviewing, verifying, and approving all AI-generated content before use. The Licensor is not responsible for the accuracy, completeness, or suitability of AI-generated content.</w:t>
      </w:r>
    </w:p>
    <w:p>
      <w:pPr>
        <w:pStyle w:val="Heading1"/>
      </w:pPr>
      <w:r>
        <w:t xml:space="preserve">9. Termination</w:t>
      </w:r>
    </w:p>
    <w:p>
      <w:pPr>
        <w:spacing w:after="120"/>
      </w:pPr>
      <w:r>
        <w:t xml:space="preserve">This Agreement is effective until terminated. Your licence terminates automatically if you breach any term of this Agreement. Upon termination, you must cease all use of the Software and destroy all copies in your possession. Termination does not affect your ownership of data created using the Software prior to termination.</w:t>
      </w:r>
    </w:p>
    <w:p>
      <w:pPr>
        <w:spacing w:after="200"/>
      </w:pPr>
      <w:r>
        <w:t xml:space="preserve">Professional licences expire at the end of their specified duration. Upon expiry, the Software reverts to Community mode. You may continue using Community features indefinitely.</w:t>
      </w:r>
    </w:p>
    <w:p>
      <w:pPr>
        <w:pStyle w:val="Heading1"/>
      </w:pPr>
      <w:r>
        <w:t xml:space="preserve">10. Updates</w:t>
      </w:r>
    </w:p>
    <w:p>
      <w:pPr>
        <w:spacing w:after="200"/>
      </w:pPr>
      <w:r>
        <w:t xml:space="preserve">The Licensor may release updates to the Software from time to time. Updates may be installed automatically or manually at your discretion. This Agreement applies to all updates unless a separate agreement accompanies the update. The Licensor is under no obligation to provide updates, support, or maintenance.</w:t>
      </w:r>
    </w:p>
    <w:p>
      <w:pPr>
        <w:pStyle w:val="Heading1"/>
      </w:pPr>
      <w:r>
        <w:t xml:space="preserve">11. Governing Law</w:t>
      </w:r>
    </w:p>
    <w:p>
      <w:pPr>
        <w:spacing w:after="200"/>
      </w:pPr>
      <w:r>
        <w:t xml:space="preserve">This Agreement is governed by and construed in accordance with the laws of England and Wales, without regard to conflict of law principles. Any dispute arising under this Agreement shall be subject to the exclusive jurisdiction of the courts of England and Wales.</w:t>
      </w:r>
    </w:p>
    <w:p>
      <w:pPr>
        <w:pStyle w:val="Heading1"/>
      </w:pPr>
      <w:r>
        <w:t xml:space="preserve">12. Entire Agreement</w:t>
      </w:r>
    </w:p>
    <w:p>
      <w:pPr>
        <w:spacing w:after="200"/>
      </w:pPr>
      <w:r>
        <w:t xml:space="preserve">This Agreement constitutes the entire agreement between you and the Licensor regarding the Software and supersedes all prior agreements, understandings, and communications, whether written or oral. The Licensor may update this Agreement from time to time; continued use of the Software after changes constitutes acceptance of the revised terms.</w:t>
      </w:r>
    </w:p>
    <w:p>
      <w:pPr>
        <w:pStyle w:val="Heading1"/>
      </w:pPr>
      <w:r>
        <w:t xml:space="preserve">13. Contact</w:t>
      </w:r>
    </w:p>
    <w:p>
      <w:pPr>
        <w:spacing w:after="120"/>
      </w:pPr>
      <w:r>
        <w:t xml:space="preserve">For questions about this Agreement, contact:</w:t>
      </w:r>
    </w:p>
    <w:p>
      <w:pPr>
        <w:spacing w:after="40"/>
      </w:pPr>
      <w:r>
        <w:rPr>
          <w:b/>
          <w:bCs/>
        </w:rPr>
        <w:t xml:space="preserve">Ridgeline Cyber Defence</w:t>
      </w:r>
    </w:p>
    <w:p>
      <w:pPr>
        <w:spacing w:after="40"/>
      </w:pPr>
      <w:r>
        <w:t xml:space="preserve">Email: contact@ridgelinecyber.com</w:t>
      </w:r>
    </w:p>
    <w:p>
      <w:pPr>
        <w:spacing w:after="200"/>
      </w:pPr>
      <w:r>
        <w:t xml:space="preserve">Website: ridgelinecyber.com</w:t>
      </w:r>
    </w:p>
    <w:p>
      <w:pPr>
        <w:pBdr>
          <w:top w:val="single" w:color="D4D4D4" w:sz="1" w:space="8"/>
        </w:pBdr>
        <w:spacing w:before="400"/>
      </w:pPr>
      <w:r>
        <w:rPr>
          <w:color w:val="6B7280"/>
          <w:sz w:val="18"/>
          <w:szCs w:val="18"/>
        </w:rPr>
        <w:t xml:space="preserve">© 2026 Ridgeline Cyber Defence. All rights reserved.</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B7280"/>
        <w:sz w:val="16"/>
        <w:szCs w:val="16"/>
      </w:rPr>
      <w:t xml:space="preserve">Ridgeline Ridgeguard — End User Licence Agreement</w:t>
    </w:r>
    <w:r>
      <w:rPr>
        <w:rFonts w:ascii="Arial" w:cs="Arial" w:eastAsia="Arial" w:hAnsi="Arial"/>
        <w:color w:val="6B7280"/>
        <w:sz w:val="16"/>
        <w:szCs w:val="16"/>
      </w:rPr>
      <w:t xml:space="preserve">     Page </w:t>
    </w:r>
    <w:r>
      <w:rPr>
        <w:rFonts w:ascii="Arial" w:cs="Arial" w:eastAsia="Arial" w:hAnsi="Arial"/>
        <w:color w:val="6B7280"/>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111"/>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0F2B3D"/>
      <w:sz w:val="28"/>
      <w:szCs w:val="28"/>
    </w:rPr>
  </w:style>
  <w:style w:type="paragraph" w:styleId="Heading2">
    <w:name w:val="Heading 2"/>
    <w:basedOn w:val="Normal"/>
    <w:next w:val="Normal"/>
    <w:qFormat/>
    <w:pPr>
      <w:spacing w:after="160" w:before="280"/>
      <w:outlineLvl w:val="1"/>
    </w:pPr>
    <w:rPr>
      <w:rFonts w:ascii="Arial" w:cs="Arial" w:eastAsia="Arial" w:hAnsi="Arial"/>
      <w:b/>
      <w:bCs/>
      <w:color w:val="2A7D6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2026-05-10T13:24:06.600Z</dcterms:created>
  <dcterms:modified xsi:type="dcterms:W3CDTF">2026-05-10T13:24:06.600Z</dcterms:modified>
</cp:coreProperties>
</file>

<file path=docProps/custom.xml><?xml version="1.0" encoding="utf-8"?>
<Properties xmlns="http://schemas.openxmlformats.org/officeDocument/2006/custom-properties" xmlns:vt="http://schemas.openxmlformats.org/officeDocument/2006/docPropsVTypes"/>
</file>