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F5FCE" w14:textId="77777777" w:rsidR="00A60164" w:rsidRDefault="00A60164"/>
    <w:p w14:paraId="24EB4E69" w14:textId="77777777" w:rsidR="00A60164" w:rsidRDefault="00A60164"/>
    <w:p w14:paraId="722BCD2F" w14:textId="77777777" w:rsidR="00A60164" w:rsidRDefault="00A60164"/>
    <w:p w14:paraId="156B8960" w14:textId="77777777" w:rsidR="00A60164" w:rsidRDefault="00414275">
      <w:pPr>
        <w:spacing w:after="200"/>
        <w:jc w:val="center"/>
      </w:pPr>
      <w:r>
        <w:rPr>
          <w:rFonts w:ascii="Arial" w:eastAsia="Arial" w:hAnsi="Arial" w:cs="Arial"/>
          <w:b/>
          <w:bCs/>
          <w:color w:val="0F2B3D"/>
          <w:sz w:val="80"/>
          <w:szCs w:val="80"/>
        </w:rPr>
        <w:t>Ridgeguard</w:t>
      </w:r>
    </w:p>
    <w:p w14:paraId="5981E0BF" w14:textId="77777777" w:rsidR="00A60164" w:rsidRDefault="00414275">
      <w:pPr>
        <w:spacing w:after="240"/>
        <w:jc w:val="center"/>
      </w:pPr>
      <w:r>
        <w:rPr>
          <w:rFonts w:ascii="Arial" w:eastAsia="Arial" w:hAnsi="Arial" w:cs="Arial"/>
          <w:color w:val="E86A2A"/>
          <w:sz w:val="48"/>
          <w:szCs w:val="48"/>
        </w:rPr>
        <w:t>User Guide</w:t>
      </w:r>
    </w:p>
    <w:p w14:paraId="6697D40E" w14:textId="77777777" w:rsidR="00A60164" w:rsidRDefault="00A60164"/>
    <w:p w14:paraId="69AF00AA" w14:textId="77777777" w:rsidR="00A60164" w:rsidRDefault="00414275">
      <w:pPr>
        <w:spacing w:after="120"/>
        <w:jc w:val="center"/>
      </w:pPr>
      <w:r>
        <w:rPr>
          <w:rFonts w:ascii="Arial" w:eastAsia="Arial" w:hAnsi="Arial" w:cs="Arial"/>
          <w:color w:val="333333"/>
          <w:sz w:val="28"/>
          <w:szCs w:val="28"/>
        </w:rPr>
        <w:t>Version 2.0</w:t>
      </w:r>
    </w:p>
    <w:p w14:paraId="79B962F4" w14:textId="77777777" w:rsidR="00A60164" w:rsidRDefault="00414275">
      <w:pPr>
        <w:spacing w:after="200"/>
        <w:jc w:val="center"/>
      </w:pPr>
      <w:r>
        <w:rPr>
          <w:rFonts w:ascii="Arial" w:eastAsia="Arial" w:hAnsi="Arial" w:cs="Arial"/>
          <w:color w:val="6B7280"/>
          <w:sz w:val="28"/>
          <w:szCs w:val="28"/>
        </w:rPr>
        <w:t>Ridgeline Cyber Defence</w:t>
      </w:r>
    </w:p>
    <w:p w14:paraId="58162BBE" w14:textId="77777777" w:rsidR="00A60164" w:rsidRDefault="00414275">
      <w:r>
        <w:br w:type="page"/>
      </w:r>
    </w:p>
    <w:p w14:paraId="6598F0A9" w14:textId="77777777" w:rsidR="00A60164" w:rsidRDefault="00414275">
      <w:pPr>
        <w:pStyle w:val="Heading1"/>
        <w:spacing w:before="400" w:after="200"/>
      </w:pPr>
      <w:r>
        <w:rPr>
          <w:rFonts w:ascii="Arial" w:eastAsia="Arial" w:hAnsi="Arial" w:cs="Arial"/>
          <w:b/>
          <w:bCs/>
          <w:color w:val="0F2B3D"/>
          <w:sz w:val="48"/>
          <w:szCs w:val="48"/>
        </w:rPr>
        <w:lastRenderedPageBreak/>
        <w:t>Table of Contents</w:t>
      </w:r>
    </w:p>
    <w:p w14:paraId="37557F07" w14:textId="77777777" w:rsidR="00A60164" w:rsidRDefault="00414275">
      <w:pPr>
        <w:spacing w:after="160" w:line="276" w:lineRule="auto"/>
      </w:pPr>
      <w:r>
        <w:rPr>
          <w:rFonts w:ascii="Arial" w:eastAsia="Arial" w:hAnsi="Arial" w:cs="Arial"/>
          <w:color w:val="111111"/>
          <w:sz w:val="22"/>
          <w:szCs w:val="22"/>
        </w:rPr>
        <w:t>Table of Contents — update this field in Word or LibreOffice after opening: right-click → Update Field → Update entire table.</w:t>
      </w:r>
    </w:p>
    <w:p w14:paraId="65F6FE24" w14:textId="77777777" w:rsidR="00A60164" w:rsidRDefault="00414275">
      <w:r>
        <w:br w:type="page"/>
      </w:r>
    </w:p>
    <w:p w14:paraId="4F8099AC" w14:textId="77777777" w:rsidR="00A60164" w:rsidRDefault="00414275">
      <w:pPr>
        <w:pStyle w:val="Heading1"/>
        <w:spacing w:before="400" w:after="200"/>
      </w:pPr>
      <w:r>
        <w:rPr>
          <w:rFonts w:ascii="Arial" w:eastAsia="Arial" w:hAnsi="Arial" w:cs="Arial"/>
          <w:b/>
          <w:bCs/>
          <w:color w:val="0F2B3D"/>
          <w:sz w:val="48"/>
          <w:szCs w:val="48"/>
        </w:rPr>
        <w:lastRenderedPageBreak/>
        <w:t>Chapter 1: Introduction</w:t>
      </w:r>
    </w:p>
    <w:p w14:paraId="13943939" w14:textId="77777777" w:rsidR="00A60164" w:rsidRDefault="00414275">
      <w:pPr>
        <w:pStyle w:val="Heading2"/>
        <w:spacing w:before="300" w:after="160"/>
      </w:pPr>
      <w:r>
        <w:rPr>
          <w:rFonts w:ascii="Arial" w:eastAsia="Arial" w:hAnsi="Arial" w:cs="Arial"/>
          <w:b/>
          <w:bCs/>
          <w:color w:val="2A7D6B"/>
          <w:sz w:val="32"/>
          <w:szCs w:val="32"/>
        </w:rPr>
        <w:t>What Is Ridgeguard</w:t>
      </w:r>
    </w:p>
    <w:p w14:paraId="3863FC1A" w14:textId="77777777" w:rsidR="00A60164" w:rsidRDefault="00414275">
      <w:pPr>
        <w:spacing w:after="160" w:line="276" w:lineRule="auto"/>
      </w:pPr>
      <w:r>
        <w:rPr>
          <w:rFonts w:ascii="Arial" w:eastAsia="Arial" w:hAnsi="Arial" w:cs="Arial"/>
          <w:color w:val="111111"/>
          <w:sz w:val="22"/>
          <w:szCs w:val="22"/>
        </w:rPr>
        <w:t>Ridgeguard is a security posture and compliance platform built by Ridgeline Cyber Def</w:t>
      </w:r>
      <w:r>
        <w:rPr>
          <w:rFonts w:ascii="Arial" w:eastAsia="Arial" w:hAnsi="Arial" w:cs="Arial"/>
          <w:color w:val="111111"/>
          <w:sz w:val="22"/>
          <w:szCs w:val="22"/>
        </w:rPr>
        <w:t>ence for small and medium-sized businesses. It helps your team respond to customer security questionnaires quickly, maintain a vendor risk register, track policy compliance, and build a public Trust Center — all from a single, locally installed application</w:t>
      </w:r>
      <w:r>
        <w:rPr>
          <w:rFonts w:ascii="Arial" w:eastAsia="Arial" w:hAnsi="Arial" w:cs="Arial"/>
          <w:color w:val="111111"/>
          <w:sz w:val="22"/>
          <w:szCs w:val="22"/>
        </w:rPr>
        <w:t>.</w:t>
      </w:r>
    </w:p>
    <w:p w14:paraId="6ECB345B" w14:textId="77777777" w:rsidR="00A60164" w:rsidRDefault="00414275">
      <w:pPr>
        <w:spacing w:after="160" w:line="276" w:lineRule="auto"/>
      </w:pPr>
      <w:r>
        <w:rPr>
          <w:rFonts w:ascii="Arial" w:eastAsia="Arial" w:hAnsi="Arial" w:cs="Arial"/>
          <w:color w:val="111111"/>
          <w:sz w:val="22"/>
          <w:szCs w:val="22"/>
        </w:rPr>
        <w:t>Every piece of data you enter stays on your machine, stored in an encrypted local database. Nothing is sent to Ridgeline servers. If you connect an AI provider, calls go directly from your device to that provider using your own API key.</w:t>
      </w:r>
    </w:p>
    <w:p w14:paraId="04A468C5" w14:textId="77777777" w:rsidR="00A60164" w:rsidRDefault="00414275">
      <w:pPr>
        <w:pStyle w:val="Heading2"/>
        <w:spacing w:before="300" w:after="160"/>
      </w:pPr>
      <w:r>
        <w:rPr>
          <w:rFonts w:ascii="Arial" w:eastAsia="Arial" w:hAnsi="Arial" w:cs="Arial"/>
          <w:b/>
          <w:bCs/>
          <w:color w:val="2A7D6B"/>
          <w:sz w:val="32"/>
          <w:szCs w:val="32"/>
        </w:rPr>
        <w:t>System Requiremen</w:t>
      </w:r>
      <w:r>
        <w:rPr>
          <w:rFonts w:ascii="Arial" w:eastAsia="Arial" w:hAnsi="Arial" w:cs="Arial"/>
          <w:b/>
          <w:bCs/>
          <w:color w:val="2A7D6B"/>
          <w:sz w:val="32"/>
          <w:szCs w:val="32"/>
        </w:rPr>
        <w:t>ts</w:t>
      </w:r>
    </w:p>
    <w:p w14:paraId="3253FBA6" w14:textId="77777777" w:rsidR="00A60164" w:rsidRDefault="00414275">
      <w:pPr>
        <w:spacing w:after="160" w:line="276" w:lineRule="auto"/>
      </w:pPr>
      <w:r>
        <w:rPr>
          <w:rFonts w:ascii="Arial" w:eastAsia="Arial" w:hAnsi="Arial" w:cs="Arial"/>
          <w:color w:val="111111"/>
          <w:sz w:val="22"/>
          <w:szCs w:val="22"/>
        </w:rPr>
        <w:t>Ridgeguard runs on Windows 10 or Windows 11 (64-bit). No internet connection is required for core features. An internet connection is only needed if you use the optional AI features, which call your chosen AI provider directly.</w:t>
      </w:r>
    </w:p>
    <w:p w14:paraId="5AE9DDFA"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Operating System: Windows</w:t>
      </w:r>
      <w:r>
        <w:rPr>
          <w:rFonts w:ascii="Arial" w:eastAsia="Arial" w:hAnsi="Arial" w:cs="Arial"/>
          <w:color w:val="111111"/>
          <w:sz w:val="22"/>
          <w:szCs w:val="22"/>
        </w:rPr>
        <w:t xml:space="preserve"> 10 (64-bit) or Windows 11</w:t>
      </w:r>
    </w:p>
    <w:p w14:paraId="58F5B562"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Disk space: 150 MB installed</w:t>
      </w:r>
    </w:p>
    <w:p w14:paraId="653C4A37"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RAM: 4 GB minimum, 8 GB recommended</w:t>
      </w:r>
    </w:p>
    <w:p w14:paraId="54F8031C"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Internet: Optional — required only for AI features</w:t>
      </w:r>
    </w:p>
    <w:p w14:paraId="499C2EED" w14:textId="77777777" w:rsidR="00A60164" w:rsidRDefault="00414275">
      <w:pPr>
        <w:pStyle w:val="Heading2"/>
        <w:spacing w:before="300" w:after="160"/>
      </w:pPr>
      <w:r>
        <w:rPr>
          <w:rFonts w:ascii="Arial" w:eastAsia="Arial" w:hAnsi="Arial" w:cs="Arial"/>
          <w:b/>
          <w:bCs/>
          <w:color w:val="2A7D6B"/>
          <w:sz w:val="32"/>
          <w:szCs w:val="32"/>
        </w:rPr>
        <w:t>Installation</w:t>
      </w:r>
    </w:p>
    <w:p w14:paraId="07C10734" w14:textId="77777777" w:rsidR="00A60164" w:rsidRDefault="00414275">
      <w:pPr>
        <w:spacing w:after="160" w:line="276" w:lineRule="auto"/>
      </w:pPr>
      <w:r>
        <w:rPr>
          <w:rFonts w:ascii="Arial" w:eastAsia="Arial" w:hAnsi="Arial" w:cs="Arial"/>
          <w:color w:val="111111"/>
          <w:sz w:val="22"/>
          <w:szCs w:val="22"/>
        </w:rPr>
        <w:t>Ridgeguard ships as a standard Windows installer. Double-click the installer file (.</w:t>
      </w:r>
      <w:proofErr w:type="spellStart"/>
      <w:r>
        <w:rPr>
          <w:rFonts w:ascii="Arial" w:eastAsia="Arial" w:hAnsi="Arial" w:cs="Arial"/>
          <w:color w:val="111111"/>
          <w:sz w:val="22"/>
          <w:szCs w:val="22"/>
        </w:rPr>
        <w:t>msi</w:t>
      </w:r>
      <w:proofErr w:type="spellEnd"/>
      <w:r>
        <w:rPr>
          <w:rFonts w:ascii="Arial" w:eastAsia="Arial" w:hAnsi="Arial" w:cs="Arial"/>
          <w:color w:val="111111"/>
          <w:sz w:val="22"/>
          <w:szCs w:val="22"/>
        </w:rPr>
        <w:t xml:space="preserve"> or .exe) and follow the on-screen prompts. Because the installer is not yet code-signed, Windows SmartScreen may display a warning on first run.</w:t>
      </w:r>
    </w:p>
    <w:p w14:paraId="133E05D9" w14:textId="77777777" w:rsidR="00A60164" w:rsidRDefault="00414275">
      <w:pPr>
        <w:pStyle w:val="ListParagraph"/>
        <w:numPr>
          <w:ilvl w:val="0"/>
          <w:numId w:val="2"/>
        </w:numPr>
        <w:spacing w:after="80" w:line="276" w:lineRule="auto"/>
      </w:pPr>
      <w:r>
        <w:rPr>
          <w:rFonts w:ascii="Arial" w:eastAsia="Arial" w:hAnsi="Arial" w:cs="Arial"/>
          <w:color w:val="111111"/>
          <w:sz w:val="22"/>
          <w:szCs w:val="22"/>
        </w:rPr>
        <w:t>Right-click the install</w:t>
      </w:r>
      <w:r>
        <w:rPr>
          <w:rFonts w:ascii="Arial" w:eastAsia="Arial" w:hAnsi="Arial" w:cs="Arial"/>
          <w:color w:val="111111"/>
          <w:sz w:val="22"/>
          <w:szCs w:val="22"/>
        </w:rPr>
        <w:t>er and choose Run anyway, or click More info then Run anyway in the SmartScreen dialog.</w:t>
      </w:r>
    </w:p>
    <w:p w14:paraId="4D7312E6" w14:textId="77777777" w:rsidR="00A60164" w:rsidRDefault="00414275">
      <w:pPr>
        <w:pStyle w:val="ListParagraph"/>
        <w:numPr>
          <w:ilvl w:val="0"/>
          <w:numId w:val="2"/>
        </w:numPr>
        <w:spacing w:after="80" w:line="276" w:lineRule="auto"/>
      </w:pPr>
      <w:r>
        <w:rPr>
          <w:rFonts w:ascii="Arial" w:eastAsia="Arial" w:hAnsi="Arial" w:cs="Arial"/>
          <w:color w:val="111111"/>
          <w:sz w:val="22"/>
          <w:szCs w:val="22"/>
        </w:rPr>
        <w:t>Accept the licence agreement and choose your install location.</w:t>
      </w:r>
    </w:p>
    <w:p w14:paraId="52A8DCD1" w14:textId="77777777" w:rsidR="00A60164" w:rsidRDefault="00414275">
      <w:pPr>
        <w:pStyle w:val="ListParagraph"/>
        <w:numPr>
          <w:ilvl w:val="0"/>
          <w:numId w:val="2"/>
        </w:numPr>
        <w:spacing w:after="80" w:line="276" w:lineRule="auto"/>
      </w:pPr>
      <w:r>
        <w:rPr>
          <w:rFonts w:ascii="Arial" w:eastAsia="Arial" w:hAnsi="Arial" w:cs="Arial"/>
          <w:color w:val="111111"/>
          <w:sz w:val="22"/>
          <w:szCs w:val="22"/>
        </w:rPr>
        <w:t>Click Install. The process takes under a minute.</w:t>
      </w:r>
    </w:p>
    <w:p w14:paraId="332C20E8" w14:textId="77777777" w:rsidR="00A60164" w:rsidRDefault="00414275">
      <w:pPr>
        <w:pStyle w:val="ListParagraph"/>
        <w:numPr>
          <w:ilvl w:val="0"/>
          <w:numId w:val="2"/>
        </w:numPr>
        <w:spacing w:after="80" w:line="276" w:lineRule="auto"/>
      </w:pPr>
      <w:r>
        <w:rPr>
          <w:rFonts w:ascii="Arial" w:eastAsia="Arial" w:hAnsi="Arial" w:cs="Arial"/>
          <w:color w:val="111111"/>
          <w:sz w:val="22"/>
          <w:szCs w:val="22"/>
        </w:rPr>
        <w:t>Launch Ridgeguard from the Start Menu or desktop shortcu</w:t>
      </w:r>
      <w:r>
        <w:rPr>
          <w:rFonts w:ascii="Arial" w:eastAsia="Arial" w:hAnsi="Arial" w:cs="Arial"/>
          <w:color w:val="111111"/>
          <w:sz w:val="22"/>
          <w:szCs w:val="22"/>
        </w:rPr>
        <w:t>t.</w:t>
      </w:r>
    </w:p>
    <w:p w14:paraId="3EF73C19" w14:textId="77777777" w:rsidR="00A60164" w:rsidRDefault="00414275">
      <w:pPr>
        <w:spacing w:after="160" w:line="276" w:lineRule="auto"/>
        <w:ind w:left="720"/>
      </w:pPr>
      <w:r>
        <w:rPr>
          <w:rFonts w:ascii="Arial" w:eastAsia="Arial" w:hAnsi="Arial" w:cs="Arial"/>
          <w:i/>
          <w:iCs/>
          <w:color w:val="6B7280"/>
        </w:rPr>
        <w:t>Tip: If Windows Defender or your antivirus quarantines the installer, add a temporary exclusion for the download folder, then re-run the installer. This is expected behaviour for unsigned binaries and does not indicate a security risk.</w:t>
      </w:r>
    </w:p>
    <w:p w14:paraId="2DC9606D" w14:textId="77777777" w:rsidR="00A60164" w:rsidRDefault="00414275">
      <w:pPr>
        <w:pStyle w:val="Heading2"/>
        <w:spacing w:before="300" w:after="160"/>
      </w:pPr>
      <w:r>
        <w:rPr>
          <w:rFonts w:ascii="Arial" w:eastAsia="Arial" w:hAnsi="Arial" w:cs="Arial"/>
          <w:b/>
          <w:bCs/>
          <w:color w:val="2A7D6B"/>
          <w:sz w:val="32"/>
          <w:szCs w:val="32"/>
        </w:rPr>
        <w:t>First Launch</w:t>
      </w:r>
    </w:p>
    <w:p w14:paraId="21850B2B" w14:textId="77777777" w:rsidR="00A60164" w:rsidRDefault="00414275">
      <w:pPr>
        <w:spacing w:after="160" w:line="276" w:lineRule="auto"/>
      </w:pPr>
      <w:r>
        <w:rPr>
          <w:rFonts w:ascii="Arial" w:eastAsia="Arial" w:hAnsi="Arial" w:cs="Arial"/>
          <w:color w:val="111111"/>
          <w:sz w:val="22"/>
          <w:szCs w:val="22"/>
        </w:rPr>
        <w:t>The very first time Ridgeguard starts, it walks you through a one-time setup to create your admin account. This password is used to encrypt your local database — keep it somewhere safe because it cannot be recovered if lost.</w:t>
      </w:r>
    </w:p>
    <w:p w14:paraId="080A34BC" w14:textId="77777777" w:rsidR="00A60164" w:rsidRDefault="00414275">
      <w:pPr>
        <w:pStyle w:val="ListParagraph"/>
        <w:numPr>
          <w:ilvl w:val="0"/>
          <w:numId w:val="2"/>
        </w:numPr>
        <w:spacing w:after="80" w:line="276" w:lineRule="auto"/>
      </w:pPr>
      <w:r>
        <w:rPr>
          <w:rFonts w:ascii="Arial" w:eastAsia="Arial" w:hAnsi="Arial" w:cs="Arial"/>
          <w:color w:val="111111"/>
          <w:sz w:val="22"/>
          <w:szCs w:val="22"/>
        </w:rPr>
        <w:t>Enter a username a</w:t>
      </w:r>
      <w:r>
        <w:rPr>
          <w:rFonts w:ascii="Arial" w:eastAsia="Arial" w:hAnsi="Arial" w:cs="Arial"/>
          <w:color w:val="111111"/>
          <w:sz w:val="22"/>
          <w:szCs w:val="22"/>
        </w:rPr>
        <w:t>nd a password of at least 12 characters.</w:t>
      </w:r>
    </w:p>
    <w:p w14:paraId="0A95C80C" w14:textId="77777777" w:rsidR="00A60164" w:rsidRDefault="00414275">
      <w:pPr>
        <w:pStyle w:val="ListParagraph"/>
        <w:numPr>
          <w:ilvl w:val="0"/>
          <w:numId w:val="2"/>
        </w:numPr>
        <w:spacing w:after="80" w:line="276" w:lineRule="auto"/>
      </w:pPr>
      <w:r>
        <w:rPr>
          <w:rFonts w:ascii="Arial" w:eastAsia="Arial" w:hAnsi="Arial" w:cs="Arial"/>
          <w:color w:val="111111"/>
          <w:sz w:val="22"/>
          <w:szCs w:val="22"/>
        </w:rPr>
        <w:t>Confirm the password and click Create Account.</w:t>
      </w:r>
    </w:p>
    <w:p w14:paraId="2F282D3B" w14:textId="77777777" w:rsidR="00A60164" w:rsidRDefault="00414275">
      <w:pPr>
        <w:pStyle w:val="ListParagraph"/>
        <w:numPr>
          <w:ilvl w:val="0"/>
          <w:numId w:val="2"/>
        </w:numPr>
        <w:spacing w:after="80" w:line="276" w:lineRule="auto"/>
      </w:pPr>
      <w:r>
        <w:rPr>
          <w:rFonts w:ascii="Arial" w:eastAsia="Arial" w:hAnsi="Arial" w:cs="Arial"/>
          <w:color w:val="111111"/>
          <w:sz w:val="22"/>
          <w:szCs w:val="22"/>
        </w:rPr>
        <w:lastRenderedPageBreak/>
        <w:t>Ridgeguard generates an encryption key, initialises the database, and logs you in automatically.</w:t>
      </w:r>
    </w:p>
    <w:p w14:paraId="335C051B" w14:textId="77777777" w:rsidR="00A60164" w:rsidRDefault="00414275">
      <w:pPr>
        <w:spacing w:after="160" w:line="276" w:lineRule="auto"/>
        <w:ind w:left="720"/>
      </w:pPr>
      <w:r>
        <w:rPr>
          <w:rFonts w:ascii="Arial" w:eastAsia="Arial" w:hAnsi="Arial" w:cs="Arial"/>
          <w:i/>
          <w:iCs/>
          <w:color w:val="6B7280"/>
        </w:rPr>
        <w:t>Tip: If your machine has a single user, Ridgeguard can auto-unlock usin</w:t>
      </w:r>
      <w:r>
        <w:rPr>
          <w:rFonts w:ascii="Arial" w:eastAsia="Arial" w:hAnsi="Arial" w:cs="Arial"/>
          <w:i/>
          <w:iCs/>
          <w:color w:val="6B7280"/>
        </w:rPr>
        <w:t>g the Windows Credential Store. In multi-user environments each person has their own account with their own password.</w:t>
      </w:r>
    </w:p>
    <w:p w14:paraId="6C3C9A06" w14:textId="77777777" w:rsidR="00A60164" w:rsidRDefault="00414275">
      <w:pPr>
        <w:pStyle w:val="Heading2"/>
        <w:spacing w:before="300" w:after="160"/>
      </w:pPr>
      <w:r>
        <w:rPr>
          <w:rFonts w:ascii="Arial" w:eastAsia="Arial" w:hAnsi="Arial" w:cs="Arial"/>
          <w:b/>
          <w:bCs/>
          <w:color w:val="2A7D6B"/>
          <w:sz w:val="32"/>
          <w:szCs w:val="32"/>
        </w:rPr>
        <w:t>Evaluation Licence</w:t>
      </w:r>
    </w:p>
    <w:p w14:paraId="6BEDC160" w14:textId="77777777" w:rsidR="00A60164" w:rsidRDefault="00414275">
      <w:pPr>
        <w:spacing w:after="160" w:line="276" w:lineRule="auto"/>
      </w:pPr>
      <w:r>
        <w:rPr>
          <w:rFonts w:ascii="Arial" w:eastAsia="Arial" w:hAnsi="Arial" w:cs="Arial"/>
          <w:color w:val="111111"/>
          <w:sz w:val="22"/>
          <w:szCs w:val="22"/>
        </w:rPr>
        <w:t>Every fresh install automatically activates a 30-day Professional evaluation. You get full access to all features durin</w:t>
      </w:r>
      <w:r>
        <w:rPr>
          <w:rFonts w:ascii="Arial" w:eastAsia="Arial" w:hAnsi="Arial" w:cs="Arial"/>
          <w:color w:val="111111"/>
          <w:sz w:val="22"/>
          <w:szCs w:val="22"/>
        </w:rPr>
        <w:t>g this period with no credit card required. The status bar at the bottom of the screen shows the days remaining on your evaluation.</w:t>
      </w:r>
    </w:p>
    <w:p w14:paraId="1B2080FB" w14:textId="77777777" w:rsidR="00A60164" w:rsidRDefault="00414275">
      <w:pPr>
        <w:spacing w:after="160" w:line="276" w:lineRule="auto"/>
      </w:pPr>
      <w:r>
        <w:rPr>
          <w:rFonts w:ascii="Arial" w:eastAsia="Arial" w:hAnsi="Arial" w:cs="Arial"/>
          <w:color w:val="111111"/>
          <w:sz w:val="22"/>
          <w:szCs w:val="22"/>
        </w:rPr>
        <w:t>When the evaluation expires, Ridgeguard reverts to the Community tier. Your data is never deleted. Purchasing a Professional</w:t>
      </w:r>
      <w:r>
        <w:rPr>
          <w:rFonts w:ascii="Arial" w:eastAsia="Arial" w:hAnsi="Arial" w:cs="Arial"/>
          <w:color w:val="111111"/>
          <w:sz w:val="22"/>
          <w:szCs w:val="22"/>
        </w:rPr>
        <w:t xml:space="preserve"> licence key and activating it in Settings → Licence restores full access immediately.</w:t>
      </w:r>
    </w:p>
    <w:p w14:paraId="4900CF76" w14:textId="77777777" w:rsidR="00A60164" w:rsidRDefault="00414275">
      <w:pPr>
        <w:pStyle w:val="Heading2"/>
        <w:spacing w:before="300" w:after="160"/>
      </w:pPr>
      <w:r>
        <w:rPr>
          <w:rFonts w:ascii="Arial" w:eastAsia="Arial" w:hAnsi="Arial" w:cs="Arial"/>
          <w:b/>
          <w:bCs/>
          <w:color w:val="2A7D6B"/>
          <w:sz w:val="32"/>
          <w:szCs w:val="32"/>
        </w:rPr>
        <w:t>Interface Overview</w:t>
      </w:r>
    </w:p>
    <w:p w14:paraId="3F23B723" w14:textId="77777777" w:rsidR="00A60164" w:rsidRDefault="00414275">
      <w:pPr>
        <w:spacing w:after="160" w:line="276" w:lineRule="auto"/>
      </w:pPr>
      <w:r>
        <w:rPr>
          <w:rFonts w:ascii="Arial" w:eastAsia="Arial" w:hAnsi="Arial" w:cs="Arial"/>
          <w:color w:val="111111"/>
          <w:sz w:val="22"/>
          <w:szCs w:val="22"/>
        </w:rPr>
        <w:t>The Ridgeguard interface has three persistent areas: the collapsible sidebar on the left, the header bar at the top, and the status bar at the bottom.</w:t>
      </w:r>
      <w:r>
        <w:rPr>
          <w:rFonts w:ascii="Arial" w:eastAsia="Arial" w:hAnsi="Arial" w:cs="Arial"/>
          <w:color w:val="111111"/>
          <w:sz w:val="22"/>
          <w:szCs w:val="22"/>
        </w:rPr>
        <w:t xml:space="preserve"> The main content area to the right of the sidebar changes depending on which page is active.</w:t>
      </w:r>
    </w:p>
    <w:p w14:paraId="58358850"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Sidebar: Navigation grouped into five sections — RESPOND, ASSESS, COMPLIANCE, GOVERNANCE, and MANAGE — plus Settings and Support at the bottom. Click the arrow at</w:t>
      </w:r>
      <w:r>
        <w:rPr>
          <w:rFonts w:ascii="Arial" w:eastAsia="Arial" w:hAnsi="Arial" w:cs="Arial"/>
          <w:color w:val="111111"/>
          <w:sz w:val="22"/>
          <w:szCs w:val="22"/>
        </w:rPr>
        <w:t xml:space="preserve"> the very bottom to collapse the sidebar and reclaim horizontal space.</w:t>
      </w:r>
    </w:p>
    <w:p w14:paraId="18BB53A9"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Header bar: Shows the current page title and your user menu (account settings, sign out).</w:t>
      </w:r>
    </w:p>
    <w:p w14:paraId="658531C4"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Status bar: Shows the application version, logged-in username, and licence tier. Colour indicat</w:t>
      </w:r>
      <w:r>
        <w:rPr>
          <w:rFonts w:ascii="Arial" w:eastAsia="Arial" w:hAnsi="Arial" w:cs="Arial"/>
          <w:color w:val="111111"/>
          <w:sz w:val="22"/>
          <w:szCs w:val="22"/>
        </w:rPr>
        <w:t>es your licence state: copper for an active Professional licence, amber for an active evaluation, muted for Community.</w:t>
      </w:r>
    </w:p>
    <w:p w14:paraId="58F1B647" w14:textId="20E41397" w:rsidR="00A60164" w:rsidRDefault="00414275" w:rsidP="001B2934">
      <w:pPr>
        <w:pStyle w:val="ListParagraph"/>
        <w:numPr>
          <w:ilvl w:val="0"/>
          <w:numId w:val="1"/>
        </w:numPr>
        <w:spacing w:after="80" w:line="276" w:lineRule="auto"/>
      </w:pPr>
      <w:r>
        <w:rPr>
          <w:rFonts w:ascii="Arial" w:eastAsia="Arial" w:hAnsi="Arial" w:cs="Arial"/>
          <w:color w:val="111111"/>
          <w:sz w:val="22"/>
          <w:szCs w:val="22"/>
        </w:rPr>
        <w:t xml:space="preserve">Back / Forward navigation: Use </w:t>
      </w:r>
      <w:proofErr w:type="spellStart"/>
      <w:r>
        <w:rPr>
          <w:rFonts w:ascii="Arial" w:eastAsia="Arial" w:hAnsi="Arial" w:cs="Arial"/>
          <w:color w:val="111111"/>
          <w:sz w:val="22"/>
          <w:szCs w:val="22"/>
        </w:rPr>
        <w:t>Alt+Left</w:t>
      </w:r>
      <w:proofErr w:type="spellEnd"/>
      <w:r>
        <w:rPr>
          <w:rFonts w:ascii="Arial" w:eastAsia="Arial" w:hAnsi="Arial" w:cs="Arial"/>
          <w:color w:val="111111"/>
          <w:sz w:val="22"/>
          <w:szCs w:val="22"/>
        </w:rPr>
        <w:t xml:space="preserve"> Arrow and </w:t>
      </w:r>
      <w:proofErr w:type="spellStart"/>
      <w:r>
        <w:rPr>
          <w:rFonts w:ascii="Arial" w:eastAsia="Arial" w:hAnsi="Arial" w:cs="Arial"/>
          <w:color w:val="111111"/>
          <w:sz w:val="22"/>
          <w:szCs w:val="22"/>
        </w:rPr>
        <w:t>Alt+Right</w:t>
      </w:r>
      <w:proofErr w:type="spellEnd"/>
      <w:r>
        <w:rPr>
          <w:rFonts w:ascii="Arial" w:eastAsia="Arial" w:hAnsi="Arial" w:cs="Arial"/>
          <w:color w:val="111111"/>
          <w:sz w:val="22"/>
          <w:szCs w:val="22"/>
        </w:rPr>
        <w:t xml:space="preserve"> Arrow to move between recently visited pages, exactly as in a web browser.</w:t>
      </w:r>
    </w:p>
    <w:p w14:paraId="4BEAA380" w14:textId="77777777" w:rsidR="00A60164" w:rsidRDefault="00414275">
      <w:pPr>
        <w:pStyle w:val="Heading1"/>
        <w:spacing w:before="400" w:after="200"/>
      </w:pPr>
      <w:r>
        <w:rPr>
          <w:rFonts w:ascii="Arial" w:eastAsia="Arial" w:hAnsi="Arial" w:cs="Arial"/>
          <w:b/>
          <w:bCs/>
          <w:color w:val="0F2B3D"/>
          <w:sz w:val="48"/>
          <w:szCs w:val="48"/>
        </w:rPr>
        <w:t>C</w:t>
      </w:r>
      <w:r>
        <w:rPr>
          <w:rFonts w:ascii="Arial" w:eastAsia="Arial" w:hAnsi="Arial" w:cs="Arial"/>
          <w:b/>
          <w:bCs/>
          <w:color w:val="0F2B3D"/>
          <w:sz w:val="48"/>
          <w:szCs w:val="48"/>
        </w:rPr>
        <w:t>hapter 2: Dashboard</w:t>
      </w:r>
    </w:p>
    <w:p w14:paraId="038F39F3" w14:textId="77777777" w:rsidR="00A60164" w:rsidRDefault="00414275">
      <w:pPr>
        <w:pStyle w:val="Heading2"/>
        <w:spacing w:before="300" w:after="160"/>
      </w:pPr>
      <w:r>
        <w:rPr>
          <w:rFonts w:ascii="Arial" w:eastAsia="Arial" w:hAnsi="Arial" w:cs="Arial"/>
          <w:b/>
          <w:bCs/>
          <w:color w:val="2A7D6B"/>
          <w:sz w:val="32"/>
          <w:szCs w:val="32"/>
        </w:rPr>
        <w:t>Dashboard Layout</w:t>
      </w:r>
    </w:p>
    <w:p w14:paraId="28AEC797" w14:textId="77777777" w:rsidR="00A60164" w:rsidRDefault="00414275">
      <w:pPr>
        <w:spacing w:after="160" w:line="276" w:lineRule="auto"/>
      </w:pPr>
      <w:r>
        <w:rPr>
          <w:rFonts w:ascii="Arial" w:eastAsia="Arial" w:hAnsi="Arial" w:cs="Arial"/>
          <w:color w:val="111111"/>
          <w:sz w:val="22"/>
          <w:szCs w:val="22"/>
        </w:rPr>
        <w:t>The Dashboard is the first page you see after logging in. It gives you an at-a-glance view of your security posture and points you to work that needs attention. The date and time are displayed live in the top-right corner of the dashboard header.</w:t>
      </w:r>
    </w:p>
    <w:p w14:paraId="542BBB0E" w14:textId="77777777" w:rsidR="00A60164" w:rsidRDefault="00414275">
      <w:pPr>
        <w:pStyle w:val="Heading2"/>
        <w:spacing w:before="300" w:after="160"/>
      </w:pPr>
      <w:r>
        <w:rPr>
          <w:rFonts w:ascii="Arial" w:eastAsia="Arial" w:hAnsi="Arial" w:cs="Arial"/>
          <w:b/>
          <w:bCs/>
          <w:color w:val="2A7D6B"/>
          <w:sz w:val="32"/>
          <w:szCs w:val="32"/>
        </w:rPr>
        <w:t>KPI Cards</w:t>
      </w:r>
    </w:p>
    <w:p w14:paraId="2CB3E1B4" w14:textId="77777777" w:rsidR="00A60164" w:rsidRDefault="00414275">
      <w:pPr>
        <w:spacing w:after="160" w:line="276" w:lineRule="auto"/>
      </w:pPr>
      <w:r>
        <w:rPr>
          <w:rFonts w:ascii="Arial" w:eastAsia="Arial" w:hAnsi="Arial" w:cs="Arial"/>
          <w:color w:val="111111"/>
          <w:sz w:val="22"/>
          <w:szCs w:val="22"/>
        </w:rPr>
        <w:t>Four key performance indicator cards sit at the top of the dashboard. Each card is clickable and navigates directly to the relevant page.</w:t>
      </w:r>
    </w:p>
    <w:p w14:paraId="0BE67329"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lastRenderedPageBreak/>
        <w:t>Answers: The total number of pre-written answers available across the built-in library and any custom answers you hav</w:t>
      </w:r>
      <w:r>
        <w:rPr>
          <w:rFonts w:ascii="Arial" w:eastAsia="Arial" w:hAnsi="Arial" w:cs="Arial"/>
          <w:color w:val="111111"/>
          <w:sz w:val="22"/>
          <w:szCs w:val="22"/>
        </w:rPr>
        <w:t>e added. Click to open the Answer Library.</w:t>
      </w:r>
    </w:p>
    <w:p w14:paraId="22DCAB49"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Templates: The combined count of built-in vendor assessment templates (22) and any custom questionnaire templates you have created. Click to open the Assessments page.</w:t>
      </w:r>
    </w:p>
    <w:p w14:paraId="06A3DCA0"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Gap Score: Your current security readiness sc</w:t>
      </w:r>
      <w:r>
        <w:rPr>
          <w:rFonts w:ascii="Arial" w:eastAsia="Arial" w:hAnsi="Arial" w:cs="Arial"/>
          <w:color w:val="111111"/>
          <w:sz w:val="22"/>
          <w:szCs w:val="22"/>
        </w:rPr>
        <w:t>ore as a percentage, calculated from the Standard 40-question Gap Assessment. Colour-coded green (70%+), amber (40–69%), or red (below 40%). Shows a dash until you have answered at least one question. Click to open Gap Assessment.</w:t>
      </w:r>
    </w:p>
    <w:p w14:paraId="57539614"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Trust Center: Shows Ready</w:t>
      </w:r>
      <w:r>
        <w:rPr>
          <w:rFonts w:ascii="Arial" w:eastAsia="Arial" w:hAnsi="Arial" w:cs="Arial"/>
          <w:color w:val="111111"/>
          <w:sz w:val="22"/>
          <w:szCs w:val="22"/>
        </w:rPr>
        <w:t xml:space="preserve"> when you have checked at least 10 items across the Trust Center wizard, or Draft if you have started but not reached that threshold. Click to open the Trust Center.</w:t>
      </w:r>
    </w:p>
    <w:p w14:paraId="3CB160B2" w14:textId="77777777" w:rsidR="00A60164" w:rsidRDefault="00414275">
      <w:pPr>
        <w:pStyle w:val="Heading2"/>
        <w:spacing w:before="300" w:after="160"/>
      </w:pPr>
      <w:r>
        <w:rPr>
          <w:rFonts w:ascii="Arial" w:eastAsia="Arial" w:hAnsi="Arial" w:cs="Arial"/>
          <w:b/>
          <w:bCs/>
          <w:color w:val="2A7D6B"/>
          <w:sz w:val="32"/>
          <w:szCs w:val="32"/>
        </w:rPr>
        <w:t>Needs Attention</w:t>
      </w:r>
    </w:p>
    <w:p w14:paraId="7BD767EC" w14:textId="77777777" w:rsidR="00A60164" w:rsidRDefault="00414275">
      <w:pPr>
        <w:spacing w:after="160" w:line="276" w:lineRule="auto"/>
      </w:pPr>
      <w:r>
        <w:rPr>
          <w:rFonts w:ascii="Arial" w:eastAsia="Arial" w:hAnsi="Arial" w:cs="Arial"/>
          <w:color w:val="111111"/>
          <w:sz w:val="22"/>
          <w:szCs w:val="22"/>
        </w:rPr>
        <w:t>Below the KPI cards, a Needs Attention section surfaces actionable alerts.</w:t>
      </w:r>
      <w:r>
        <w:rPr>
          <w:rFonts w:ascii="Arial" w:eastAsia="Arial" w:hAnsi="Arial" w:cs="Arial"/>
          <w:color w:val="111111"/>
          <w:sz w:val="22"/>
          <w:szCs w:val="22"/>
        </w:rPr>
        <w:t xml:space="preserve"> Each alert is clickable and navigates to the page where you can resolve it. Alerts include:</w:t>
      </w:r>
    </w:p>
    <w:p w14:paraId="11BAD215"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Company profile incomplete — your profile details are used in every AI-generated answer, so filling this in early has a compounding benefit.</w:t>
      </w:r>
    </w:p>
    <w:p w14:paraId="471A2128"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Gap assessment not sta</w:t>
      </w:r>
      <w:r>
        <w:rPr>
          <w:rFonts w:ascii="Arial" w:eastAsia="Arial" w:hAnsi="Arial" w:cs="Arial"/>
          <w:color w:val="111111"/>
          <w:sz w:val="22"/>
          <w:szCs w:val="22"/>
        </w:rPr>
        <w:t>rted — you have not yet answered any gap questions.</w:t>
      </w:r>
    </w:p>
    <w:p w14:paraId="5076D7D8"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Gap score critically low — your score is below 50%, which may flag problems during questionnaire reviews.</w:t>
      </w:r>
    </w:p>
    <w:p w14:paraId="7A434AEA"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Vendor reviews due — one or more vendors in your register are overdue or coming up for review.</w:t>
      </w:r>
    </w:p>
    <w:p w14:paraId="029DDDDC"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Pol</w:t>
      </w:r>
      <w:r>
        <w:rPr>
          <w:rFonts w:ascii="Arial" w:eastAsia="Arial" w:hAnsi="Arial" w:cs="Arial"/>
          <w:color w:val="111111"/>
          <w:sz w:val="22"/>
          <w:szCs w:val="22"/>
        </w:rPr>
        <w:t>icies due for review — one or more policies have passed their scheduled review date.</w:t>
      </w:r>
    </w:p>
    <w:p w14:paraId="7D54F54B" w14:textId="77777777" w:rsidR="00A60164" w:rsidRDefault="00414275">
      <w:pPr>
        <w:pStyle w:val="Heading2"/>
        <w:spacing w:before="300" w:after="160"/>
      </w:pPr>
      <w:r>
        <w:rPr>
          <w:rFonts w:ascii="Arial" w:eastAsia="Arial" w:hAnsi="Arial" w:cs="Arial"/>
          <w:b/>
          <w:bCs/>
          <w:color w:val="2A7D6B"/>
          <w:sz w:val="32"/>
          <w:szCs w:val="32"/>
        </w:rPr>
        <w:t>Security Posture Summary</w:t>
      </w:r>
    </w:p>
    <w:p w14:paraId="3F533D2D" w14:textId="77777777" w:rsidR="00A60164" w:rsidRDefault="00414275">
      <w:pPr>
        <w:spacing w:after="160" w:line="276" w:lineRule="auto"/>
      </w:pPr>
      <w:r>
        <w:rPr>
          <w:rFonts w:ascii="Arial" w:eastAsia="Arial" w:hAnsi="Arial" w:cs="Arial"/>
          <w:color w:val="111111"/>
          <w:sz w:val="22"/>
          <w:szCs w:val="22"/>
        </w:rPr>
        <w:t>When you have data across at least one area, a Security Posture section appears with four mini-cards: Gap Score, Policies Approved, High-Risk Vend</w:t>
      </w:r>
      <w:r>
        <w:rPr>
          <w:rFonts w:ascii="Arial" w:eastAsia="Arial" w:hAnsi="Arial" w:cs="Arial"/>
          <w:color w:val="111111"/>
          <w:sz w:val="22"/>
          <w:szCs w:val="22"/>
        </w:rPr>
        <w:t>ors, and Trust Center status. This section is hidden on a fresh install until you have completed some work.</w:t>
      </w:r>
    </w:p>
    <w:p w14:paraId="775ECCB9" w14:textId="77777777" w:rsidR="00A60164" w:rsidRDefault="00414275">
      <w:pPr>
        <w:pStyle w:val="Heading2"/>
        <w:spacing w:before="300" w:after="160"/>
      </w:pPr>
      <w:r>
        <w:rPr>
          <w:rFonts w:ascii="Arial" w:eastAsia="Arial" w:hAnsi="Arial" w:cs="Arial"/>
          <w:b/>
          <w:bCs/>
          <w:color w:val="2A7D6B"/>
          <w:sz w:val="32"/>
          <w:szCs w:val="32"/>
        </w:rPr>
        <w:t>Getting Started Guide</w:t>
      </w:r>
    </w:p>
    <w:p w14:paraId="0AE0CC32" w14:textId="77777777" w:rsidR="00A60164" w:rsidRDefault="00414275">
      <w:pPr>
        <w:spacing w:after="160" w:line="276" w:lineRule="auto"/>
      </w:pPr>
      <w:r>
        <w:rPr>
          <w:rFonts w:ascii="Arial" w:eastAsia="Arial" w:hAnsi="Arial" w:cs="Arial"/>
          <w:color w:val="111111"/>
          <w:sz w:val="22"/>
          <w:szCs w:val="22"/>
        </w:rPr>
        <w:t>On a fresh install, a Getting Started card guides you through the three recommended first steps: fill in your Company Profile, run a Gap Assessment, and import your first questionnaire. Each step shows a numbered circle that fills with a checkmark when com</w:t>
      </w:r>
      <w:r>
        <w:rPr>
          <w:rFonts w:ascii="Arial" w:eastAsia="Arial" w:hAnsi="Arial" w:cs="Arial"/>
          <w:color w:val="111111"/>
          <w:sz w:val="22"/>
          <w:szCs w:val="22"/>
        </w:rPr>
        <w:t>pleted. You can dismiss the guide once you no longer need it.</w:t>
      </w:r>
    </w:p>
    <w:p w14:paraId="6D065EB9" w14:textId="77777777" w:rsidR="00A60164" w:rsidRDefault="00414275">
      <w:pPr>
        <w:pStyle w:val="Heading2"/>
        <w:spacing w:before="300" w:after="160"/>
      </w:pPr>
      <w:r>
        <w:rPr>
          <w:rFonts w:ascii="Arial" w:eastAsia="Arial" w:hAnsi="Arial" w:cs="Arial"/>
          <w:b/>
          <w:bCs/>
          <w:color w:val="2A7D6B"/>
          <w:sz w:val="32"/>
          <w:szCs w:val="32"/>
        </w:rPr>
        <w:t>Recent Activity</w:t>
      </w:r>
    </w:p>
    <w:p w14:paraId="6F2BE5DC" w14:textId="1B0794F2" w:rsidR="00A60164" w:rsidRDefault="00414275" w:rsidP="001B2934">
      <w:pPr>
        <w:spacing w:after="160" w:line="276" w:lineRule="auto"/>
      </w:pPr>
      <w:r>
        <w:rPr>
          <w:rFonts w:ascii="Arial" w:eastAsia="Arial" w:hAnsi="Arial" w:cs="Arial"/>
          <w:color w:val="111111"/>
          <w:sz w:val="22"/>
          <w:szCs w:val="22"/>
        </w:rPr>
        <w:t>The Recent Activity list at the bottom of the dashboard shows the last 10 history entries, sorted by date. Each row shows the file name or vendor name, the match rate for questio</w:t>
      </w:r>
      <w:r>
        <w:rPr>
          <w:rFonts w:ascii="Arial" w:eastAsia="Arial" w:hAnsi="Arial" w:cs="Arial"/>
          <w:color w:val="111111"/>
          <w:sz w:val="22"/>
          <w:szCs w:val="22"/>
        </w:rPr>
        <w:t>nnaire responses, and a relative timestamp. Click View all to open the full Activity History page.</w:t>
      </w:r>
    </w:p>
    <w:p w14:paraId="021E0DC8" w14:textId="77777777" w:rsidR="00A60164" w:rsidRDefault="00414275">
      <w:pPr>
        <w:pStyle w:val="Heading1"/>
        <w:spacing w:before="400" w:after="200"/>
      </w:pPr>
      <w:r>
        <w:rPr>
          <w:rFonts w:ascii="Arial" w:eastAsia="Arial" w:hAnsi="Arial" w:cs="Arial"/>
          <w:b/>
          <w:bCs/>
          <w:color w:val="0F2B3D"/>
          <w:sz w:val="48"/>
          <w:szCs w:val="48"/>
        </w:rPr>
        <w:lastRenderedPageBreak/>
        <w:t>Chapter 3: Company Profile</w:t>
      </w:r>
    </w:p>
    <w:p w14:paraId="560351A6" w14:textId="77777777" w:rsidR="00A60164" w:rsidRDefault="00414275">
      <w:pPr>
        <w:pStyle w:val="Heading2"/>
        <w:spacing w:before="300" w:after="160"/>
      </w:pPr>
      <w:r>
        <w:rPr>
          <w:rFonts w:ascii="Arial" w:eastAsia="Arial" w:hAnsi="Arial" w:cs="Arial"/>
          <w:b/>
          <w:bCs/>
          <w:color w:val="2A7D6B"/>
          <w:sz w:val="32"/>
          <w:szCs w:val="32"/>
        </w:rPr>
        <w:t>Why It Matters</w:t>
      </w:r>
    </w:p>
    <w:p w14:paraId="58603CA6" w14:textId="77777777" w:rsidR="00A60164" w:rsidRDefault="00414275">
      <w:pPr>
        <w:spacing w:after="160" w:line="276" w:lineRule="auto"/>
      </w:pPr>
      <w:r>
        <w:rPr>
          <w:rFonts w:ascii="Arial" w:eastAsia="Arial" w:hAnsi="Arial" w:cs="Arial"/>
          <w:color w:val="111111"/>
          <w:sz w:val="22"/>
          <w:szCs w:val="22"/>
        </w:rPr>
        <w:t>The Company Profile stores details about your organisation that flow into AI-generated answers, Trust Center cont</w:t>
      </w:r>
      <w:r>
        <w:rPr>
          <w:rFonts w:ascii="Arial" w:eastAsia="Arial" w:hAnsi="Arial" w:cs="Arial"/>
          <w:color w:val="111111"/>
          <w:sz w:val="22"/>
          <w:szCs w:val="22"/>
        </w:rPr>
        <w:t>ent, and exported reports. The more accurately you complete this page, the more relevant and specific the AI output will be. Filling in your profile is the first recommended step on the Getting Started guide.</w:t>
      </w:r>
    </w:p>
    <w:p w14:paraId="7F0399FF" w14:textId="77777777" w:rsidR="00A60164" w:rsidRDefault="00414275">
      <w:pPr>
        <w:pStyle w:val="Heading2"/>
        <w:spacing w:before="300" w:after="160"/>
      </w:pPr>
      <w:r>
        <w:rPr>
          <w:rFonts w:ascii="Arial" w:eastAsia="Arial" w:hAnsi="Arial" w:cs="Arial"/>
          <w:b/>
          <w:bCs/>
          <w:color w:val="2A7D6B"/>
          <w:sz w:val="32"/>
          <w:szCs w:val="32"/>
        </w:rPr>
        <w:t>The Four Sections</w:t>
      </w:r>
    </w:p>
    <w:p w14:paraId="4837C8D7" w14:textId="77777777" w:rsidR="00A60164" w:rsidRDefault="00414275">
      <w:pPr>
        <w:pStyle w:val="Heading3"/>
        <w:spacing w:before="240" w:after="120"/>
      </w:pPr>
      <w:r>
        <w:rPr>
          <w:rFonts w:ascii="Arial" w:eastAsia="Arial" w:hAnsi="Arial" w:cs="Arial"/>
          <w:b/>
          <w:bCs/>
          <w:color w:val="333333"/>
          <w:sz w:val="26"/>
          <w:szCs w:val="26"/>
        </w:rPr>
        <w:t>Identity and Classification</w:t>
      </w:r>
    </w:p>
    <w:p w14:paraId="1F20CE07" w14:textId="77777777" w:rsidR="00A60164" w:rsidRDefault="00414275">
      <w:pPr>
        <w:spacing w:after="160" w:line="276" w:lineRule="auto"/>
      </w:pPr>
      <w:r>
        <w:rPr>
          <w:rFonts w:ascii="Arial" w:eastAsia="Arial" w:hAnsi="Arial" w:cs="Arial"/>
          <w:color w:val="111111"/>
          <w:sz w:val="22"/>
          <w:szCs w:val="22"/>
        </w:rPr>
        <w:t>The core details about your organisation used across all modules.</w:t>
      </w:r>
    </w:p>
    <w:p w14:paraId="488CA7ED"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Company Name — your organisation's full legal or trading name, used in report headers and AI answers.</w:t>
      </w:r>
    </w:p>
    <w:p w14:paraId="57131094"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Industry / Sector — choose from options including Technology</w:t>
      </w:r>
      <w:r>
        <w:rPr>
          <w:rFonts w:ascii="Arial" w:eastAsia="Arial" w:hAnsi="Arial" w:cs="Arial"/>
          <w:color w:val="111111"/>
          <w:sz w:val="22"/>
          <w:szCs w:val="22"/>
        </w:rPr>
        <w:t xml:space="preserve"> / SaaS, Professional Services, Financial Services / Fintech, Healthcare, Government / Public Sector, Manufacturing, Retail / E-commerce, Education, Telecommunications, Energy / Utilities, Non-profit, or Other.</w:t>
      </w:r>
    </w:p>
    <w:p w14:paraId="116FE3AC"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Company Size (Employees) — select a band: 1–1</w:t>
      </w:r>
      <w:r>
        <w:rPr>
          <w:rFonts w:ascii="Arial" w:eastAsia="Arial" w:hAnsi="Arial" w:cs="Arial"/>
          <w:color w:val="111111"/>
          <w:sz w:val="22"/>
          <w:szCs w:val="22"/>
        </w:rPr>
        <w:t>0, 11–50, 51–200, 201–500, 501–1,000, 1,001–5,000, or 5,000+.</w:t>
      </w:r>
    </w:p>
    <w:p w14:paraId="0C7DF22A"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Company Website — your public-facing website URL.</w:t>
      </w:r>
    </w:p>
    <w:p w14:paraId="56BFDCF8"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HQ Location — city and country of your primary office.</w:t>
      </w:r>
    </w:p>
    <w:p w14:paraId="198CFA47"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Operating Regions — free-text field for regions where you operate, such as "UK, EU, US".</w:t>
      </w:r>
    </w:p>
    <w:p w14:paraId="506A23A6" w14:textId="77777777" w:rsidR="00A60164" w:rsidRDefault="00414275">
      <w:pPr>
        <w:pStyle w:val="Heading3"/>
        <w:spacing w:before="240" w:after="120"/>
      </w:pPr>
      <w:r>
        <w:rPr>
          <w:rFonts w:ascii="Arial" w:eastAsia="Arial" w:hAnsi="Arial" w:cs="Arial"/>
          <w:b/>
          <w:bCs/>
          <w:color w:val="333333"/>
          <w:sz w:val="26"/>
          <w:szCs w:val="26"/>
        </w:rPr>
        <w:t>Security and Compliance</w:t>
      </w:r>
    </w:p>
    <w:p w14:paraId="12E67771" w14:textId="77777777" w:rsidR="00A60164" w:rsidRDefault="00414275">
      <w:pPr>
        <w:spacing w:after="160" w:line="276" w:lineRule="auto"/>
      </w:pPr>
      <w:r>
        <w:rPr>
          <w:rFonts w:ascii="Arial" w:eastAsia="Arial" w:hAnsi="Arial" w:cs="Arial"/>
          <w:color w:val="111111"/>
          <w:sz w:val="22"/>
          <w:szCs w:val="22"/>
        </w:rPr>
        <w:t>Framework alignment and certification status, used to add context to AI-generated answers.</w:t>
      </w:r>
    </w:p>
    <w:p w14:paraId="2E80DF40"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Primary Framework — the compliance or security framework your organisation primarily aligns to. Options include NIST CSF 2.0, ISO/IEC 27001:2</w:t>
      </w:r>
      <w:r>
        <w:rPr>
          <w:rFonts w:ascii="Arial" w:eastAsia="Arial" w:hAnsi="Arial" w:cs="Arial"/>
          <w:color w:val="111111"/>
          <w:sz w:val="22"/>
          <w:szCs w:val="22"/>
        </w:rPr>
        <w:t>022, CIS Controls v8, SOC 2, CMMC 2.0, NIST SP 800-53 Rev 5, PCI DSS 4.0, HIPAA Security Rule, GDPR, NIS2 Directive, DORA, Cyber Essentials, Essential Eight, FedRAMP, and Multiple / Hybrid Approach.</w:t>
      </w:r>
    </w:p>
    <w:p w14:paraId="210172BE"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Audit / Risk Assessment in Last 12 Months — Yes, No, or I</w:t>
      </w:r>
      <w:r>
        <w:rPr>
          <w:rFonts w:ascii="Arial" w:eastAsia="Arial" w:hAnsi="Arial" w:cs="Arial"/>
          <w:color w:val="111111"/>
          <w:sz w:val="22"/>
          <w:szCs w:val="22"/>
        </w:rPr>
        <w:t>n Progress. This feeds into answers about your risk management programme.</w:t>
      </w:r>
    </w:p>
    <w:p w14:paraId="4F9BAA5B"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Externally Certified — Yes, No, or In Progress. Indicates whether you hold a recognised certification (e.g. ISO 27001, SOC 2, Cyber Essentials).</w:t>
      </w:r>
    </w:p>
    <w:p w14:paraId="21E33BE7" w14:textId="77777777" w:rsidR="00A60164" w:rsidRDefault="00414275">
      <w:pPr>
        <w:pStyle w:val="Heading3"/>
        <w:spacing w:before="240" w:after="120"/>
      </w:pPr>
      <w:r>
        <w:rPr>
          <w:rFonts w:ascii="Arial" w:eastAsia="Arial" w:hAnsi="Arial" w:cs="Arial"/>
          <w:b/>
          <w:bCs/>
          <w:color w:val="333333"/>
          <w:sz w:val="26"/>
          <w:szCs w:val="26"/>
        </w:rPr>
        <w:t>Contact and Communication</w:t>
      </w:r>
    </w:p>
    <w:p w14:paraId="257DD467" w14:textId="77777777" w:rsidR="00A60164" w:rsidRDefault="00414275">
      <w:pPr>
        <w:spacing w:after="160" w:line="276" w:lineRule="auto"/>
      </w:pPr>
      <w:r>
        <w:rPr>
          <w:rFonts w:ascii="Arial" w:eastAsia="Arial" w:hAnsi="Arial" w:cs="Arial"/>
          <w:color w:val="111111"/>
          <w:sz w:val="22"/>
          <w:szCs w:val="22"/>
        </w:rPr>
        <w:t>Security co</w:t>
      </w:r>
      <w:r>
        <w:rPr>
          <w:rFonts w:ascii="Arial" w:eastAsia="Arial" w:hAnsi="Arial" w:cs="Arial"/>
          <w:color w:val="111111"/>
          <w:sz w:val="22"/>
          <w:szCs w:val="22"/>
        </w:rPr>
        <w:t>ntact details used when answering questions about your incident response and vendor communication procedures.</w:t>
      </w:r>
    </w:p>
    <w:p w14:paraId="674A31D5"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Contact Name — the name of your CISO, Security Lead, or primary security contact.</w:t>
      </w:r>
    </w:p>
    <w:p w14:paraId="24669DFC"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lastRenderedPageBreak/>
        <w:t>Email Contact — a security-specific email address such as securi</w:t>
      </w:r>
      <w:r>
        <w:rPr>
          <w:rFonts w:ascii="Arial" w:eastAsia="Arial" w:hAnsi="Arial" w:cs="Arial"/>
          <w:color w:val="111111"/>
          <w:sz w:val="22"/>
          <w:szCs w:val="22"/>
        </w:rPr>
        <w:t>ty@yourcompany.com.</w:t>
      </w:r>
    </w:p>
    <w:p w14:paraId="0FC78BB7"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Emergency Phone — an out-of-hours contact number for incident reporting.</w:t>
      </w:r>
    </w:p>
    <w:p w14:paraId="7547A3AC" w14:textId="77777777" w:rsidR="00A60164" w:rsidRDefault="00414275">
      <w:pPr>
        <w:pStyle w:val="Heading3"/>
        <w:spacing w:before="240" w:after="120"/>
      </w:pPr>
      <w:r>
        <w:rPr>
          <w:rFonts w:ascii="Arial" w:eastAsia="Arial" w:hAnsi="Arial" w:cs="Arial"/>
          <w:b/>
          <w:bCs/>
          <w:color w:val="333333"/>
          <w:sz w:val="26"/>
          <w:szCs w:val="26"/>
        </w:rPr>
        <w:t>Technical Stack</w:t>
      </w:r>
    </w:p>
    <w:p w14:paraId="585F0687" w14:textId="77777777" w:rsidR="00A60164" w:rsidRDefault="00414275">
      <w:pPr>
        <w:spacing w:after="160" w:line="276" w:lineRule="auto"/>
      </w:pPr>
      <w:r>
        <w:rPr>
          <w:rFonts w:ascii="Arial" w:eastAsia="Arial" w:hAnsi="Arial" w:cs="Arial"/>
          <w:color w:val="111111"/>
          <w:sz w:val="22"/>
          <w:szCs w:val="22"/>
        </w:rPr>
        <w:t>Optional infrastructure details that make AI answers about your environment more accurate.</w:t>
      </w:r>
    </w:p>
    <w:p w14:paraId="508A4B6C"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Cloud Infrastructure Providers — comma-separated list, e</w:t>
      </w:r>
      <w:r>
        <w:rPr>
          <w:rFonts w:ascii="Arial" w:eastAsia="Arial" w:hAnsi="Arial" w:cs="Arial"/>
          <w:color w:val="111111"/>
          <w:sz w:val="22"/>
          <w:szCs w:val="22"/>
        </w:rPr>
        <w:t>.g. "AWS, Azure, GCP, Cloudflare".</w:t>
      </w:r>
    </w:p>
    <w:p w14:paraId="647C5B07"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On-Prem Infrastructure — on-premises systems such as "VMware, Hyper-V, Physical servers".</w:t>
      </w:r>
    </w:p>
    <w:p w14:paraId="11BD11DC" w14:textId="77777777" w:rsidR="00A60164" w:rsidRDefault="00414275">
      <w:pPr>
        <w:pStyle w:val="Heading2"/>
        <w:spacing w:before="300" w:after="160"/>
      </w:pPr>
      <w:r>
        <w:rPr>
          <w:rFonts w:ascii="Arial" w:eastAsia="Arial" w:hAnsi="Arial" w:cs="Arial"/>
          <w:b/>
          <w:bCs/>
          <w:color w:val="2A7D6B"/>
          <w:sz w:val="32"/>
          <w:szCs w:val="32"/>
        </w:rPr>
        <w:t>Tips for Effective Entries</w:t>
      </w:r>
    </w:p>
    <w:p w14:paraId="1D62D122" w14:textId="77777777" w:rsidR="00A60164" w:rsidRDefault="00414275">
      <w:pPr>
        <w:spacing w:after="160" w:line="276" w:lineRule="auto"/>
        <w:ind w:left="720"/>
      </w:pPr>
      <w:r>
        <w:rPr>
          <w:rFonts w:ascii="Arial" w:eastAsia="Arial" w:hAnsi="Arial" w:cs="Arial"/>
          <w:i/>
          <w:iCs/>
          <w:color w:val="6B7280"/>
        </w:rPr>
        <w:t>All fields save automatically as you type — there is no Save button to press.</w:t>
      </w:r>
    </w:p>
    <w:p w14:paraId="72FDBF45" w14:textId="77777777" w:rsidR="00A60164" w:rsidRDefault="00414275">
      <w:pPr>
        <w:spacing w:after="160" w:line="276" w:lineRule="auto"/>
        <w:ind w:left="720"/>
      </w:pPr>
      <w:r>
        <w:rPr>
          <w:rFonts w:ascii="Arial" w:eastAsia="Arial" w:hAnsi="Arial" w:cs="Arial"/>
          <w:i/>
          <w:iCs/>
          <w:color w:val="6B7280"/>
        </w:rPr>
        <w:t>The Operating Regions and Technical Stack fields accept free-form text, so you can be as specific or as general as your situation requires.</w:t>
      </w:r>
    </w:p>
    <w:p w14:paraId="0652C1EE" w14:textId="7F422BED" w:rsidR="00A60164" w:rsidRDefault="00414275" w:rsidP="001B2934">
      <w:pPr>
        <w:spacing w:after="160" w:line="276" w:lineRule="auto"/>
        <w:ind w:left="720"/>
      </w:pPr>
      <w:r>
        <w:rPr>
          <w:rFonts w:ascii="Arial" w:eastAsia="Arial" w:hAnsi="Arial" w:cs="Arial"/>
          <w:i/>
          <w:iCs/>
          <w:color w:val="6B7280"/>
        </w:rPr>
        <w:t>If your company holds multiple certifications, list them in the Externally Certified field using a free-text note in the Company Name or Contact section, or mention them in the Technical Stack notes.</w:t>
      </w:r>
    </w:p>
    <w:p w14:paraId="2FE6692E" w14:textId="77777777" w:rsidR="00A60164" w:rsidRDefault="00414275">
      <w:pPr>
        <w:pStyle w:val="Heading1"/>
        <w:spacing w:before="400" w:after="200"/>
      </w:pPr>
      <w:r>
        <w:rPr>
          <w:rFonts w:ascii="Arial" w:eastAsia="Arial" w:hAnsi="Arial" w:cs="Arial"/>
          <w:b/>
          <w:bCs/>
          <w:color w:val="0F2B3D"/>
          <w:sz w:val="48"/>
          <w:szCs w:val="48"/>
        </w:rPr>
        <w:t>Chapter 4: Gap Assessment</w:t>
      </w:r>
    </w:p>
    <w:p w14:paraId="355DD983" w14:textId="77777777" w:rsidR="00A60164" w:rsidRDefault="00414275">
      <w:pPr>
        <w:pStyle w:val="Heading2"/>
        <w:spacing w:before="300" w:after="160"/>
      </w:pPr>
      <w:r>
        <w:rPr>
          <w:rFonts w:ascii="Arial" w:eastAsia="Arial" w:hAnsi="Arial" w:cs="Arial"/>
          <w:b/>
          <w:bCs/>
          <w:color w:val="2A7D6B"/>
          <w:sz w:val="32"/>
          <w:szCs w:val="32"/>
        </w:rPr>
        <w:t>Purpose</w:t>
      </w:r>
    </w:p>
    <w:p w14:paraId="6C6E3B39" w14:textId="77777777" w:rsidR="00A60164" w:rsidRDefault="00414275">
      <w:pPr>
        <w:spacing w:after="160" w:line="276" w:lineRule="auto"/>
      </w:pPr>
      <w:r>
        <w:rPr>
          <w:rFonts w:ascii="Arial" w:eastAsia="Arial" w:hAnsi="Arial" w:cs="Arial"/>
          <w:color w:val="111111"/>
          <w:sz w:val="22"/>
          <w:szCs w:val="22"/>
        </w:rPr>
        <w:t>The Gap Assessment i</w:t>
      </w:r>
      <w:r>
        <w:rPr>
          <w:rFonts w:ascii="Arial" w:eastAsia="Arial" w:hAnsi="Arial" w:cs="Arial"/>
          <w:color w:val="111111"/>
          <w:sz w:val="22"/>
          <w:szCs w:val="22"/>
        </w:rPr>
        <w:t>s a structured self-evaluation that measures your organisation's current security posture. It identifies where you have controls in place, where they are partially implemented, and where gaps exist. The results help you know which questionnaire questions a</w:t>
      </w:r>
      <w:r>
        <w:rPr>
          <w:rFonts w:ascii="Arial" w:eastAsia="Arial" w:hAnsi="Arial" w:cs="Arial"/>
          <w:color w:val="111111"/>
          <w:sz w:val="22"/>
          <w:szCs w:val="22"/>
        </w:rPr>
        <w:t>re likely to expose weaknesses before a vendor or customer does.</w:t>
      </w:r>
    </w:p>
    <w:p w14:paraId="5BE2E23B" w14:textId="77777777" w:rsidR="00A60164" w:rsidRDefault="00414275">
      <w:pPr>
        <w:pStyle w:val="Heading2"/>
        <w:spacing w:before="300" w:after="160"/>
      </w:pPr>
      <w:r>
        <w:rPr>
          <w:rFonts w:ascii="Arial" w:eastAsia="Arial" w:hAnsi="Arial" w:cs="Arial"/>
          <w:b/>
          <w:bCs/>
          <w:color w:val="2A7D6B"/>
          <w:sz w:val="32"/>
          <w:szCs w:val="32"/>
        </w:rPr>
        <w:t>Standard vs Comprehensive</w:t>
      </w:r>
    </w:p>
    <w:p w14:paraId="2A0DDA43" w14:textId="77777777" w:rsidR="00A60164" w:rsidRDefault="00414275">
      <w:pPr>
        <w:spacing w:after="160" w:line="276" w:lineRule="auto"/>
      </w:pPr>
      <w:r>
        <w:rPr>
          <w:rFonts w:ascii="Arial" w:eastAsia="Arial" w:hAnsi="Arial" w:cs="Arial"/>
          <w:color w:val="111111"/>
          <w:sz w:val="22"/>
          <w:szCs w:val="22"/>
        </w:rPr>
        <w:t>Two assessment modes are available, selected using the toggle at the top of the page:</w:t>
      </w:r>
    </w:p>
    <w:p w14:paraId="707AF43C"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Standard (40 questions) — available on both Community and Professional tiers. C</w:t>
      </w:r>
      <w:r>
        <w:rPr>
          <w:rFonts w:ascii="Arial" w:eastAsia="Arial" w:hAnsi="Arial" w:cs="Arial"/>
          <w:color w:val="111111"/>
          <w:sz w:val="22"/>
          <w:szCs w:val="22"/>
        </w:rPr>
        <w:t>overs the most critical security domains and is the right starting point for most organisations. This is the score shown on the Dashboard.</w:t>
      </w:r>
    </w:p>
    <w:p w14:paraId="37F88EF8"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Comprehensive (80 questions) — Professional only. Doubles the depth of coverage with more detailed questions across e</w:t>
      </w:r>
      <w:r>
        <w:rPr>
          <w:rFonts w:ascii="Arial" w:eastAsia="Arial" w:hAnsi="Arial" w:cs="Arial"/>
          <w:color w:val="111111"/>
          <w:sz w:val="22"/>
          <w:szCs w:val="22"/>
        </w:rPr>
        <w:t>very category. Questions exclusive to this mode are marked with a COMPREHENSIVE badge.</w:t>
      </w:r>
    </w:p>
    <w:p w14:paraId="55918C98" w14:textId="77777777" w:rsidR="00A60164" w:rsidRDefault="00414275">
      <w:pPr>
        <w:spacing w:after="160" w:line="276" w:lineRule="auto"/>
        <w:ind w:left="720"/>
      </w:pPr>
      <w:r>
        <w:rPr>
          <w:rFonts w:ascii="Arial" w:eastAsia="Arial" w:hAnsi="Arial" w:cs="Arial"/>
          <w:i/>
          <w:iCs/>
          <w:color w:val="6B7280"/>
        </w:rPr>
        <w:t>You can switch between Standard and Comprehensive modes at any time. Your answers are preserved separately for each tier.</w:t>
      </w:r>
    </w:p>
    <w:p w14:paraId="4BCB8E84" w14:textId="77777777" w:rsidR="00A60164" w:rsidRDefault="00414275">
      <w:pPr>
        <w:pStyle w:val="Heading2"/>
        <w:spacing w:before="300" w:after="160"/>
      </w:pPr>
      <w:r>
        <w:rPr>
          <w:rFonts w:ascii="Arial" w:eastAsia="Arial" w:hAnsi="Arial" w:cs="Arial"/>
          <w:b/>
          <w:bCs/>
          <w:color w:val="2A7D6B"/>
          <w:sz w:val="32"/>
          <w:szCs w:val="32"/>
        </w:rPr>
        <w:t>Completing an Assessment</w:t>
      </w:r>
    </w:p>
    <w:p w14:paraId="5B273BFD" w14:textId="77777777" w:rsidR="00A60164" w:rsidRDefault="00414275">
      <w:pPr>
        <w:spacing w:after="160" w:line="276" w:lineRule="auto"/>
      </w:pPr>
      <w:r>
        <w:rPr>
          <w:rFonts w:ascii="Arial" w:eastAsia="Arial" w:hAnsi="Arial" w:cs="Arial"/>
          <w:color w:val="111111"/>
          <w:sz w:val="22"/>
          <w:szCs w:val="22"/>
        </w:rPr>
        <w:lastRenderedPageBreak/>
        <w:t xml:space="preserve">Questions are grouped </w:t>
      </w:r>
      <w:r>
        <w:rPr>
          <w:rFonts w:ascii="Arial" w:eastAsia="Arial" w:hAnsi="Arial" w:cs="Arial"/>
          <w:color w:val="111111"/>
          <w:sz w:val="22"/>
          <w:szCs w:val="22"/>
        </w:rPr>
        <w:t>into categories and displayed under tabs. The Summary tab shows your overall score; clicking a category tab shows only the questions in that group. You can also view all questions at once using the Show All tab.</w:t>
      </w:r>
    </w:p>
    <w:p w14:paraId="0B35312E" w14:textId="77777777" w:rsidR="00A60164" w:rsidRDefault="00414275">
      <w:pPr>
        <w:spacing w:after="160" w:line="276" w:lineRule="auto"/>
      </w:pPr>
      <w:r>
        <w:rPr>
          <w:rFonts w:ascii="Arial" w:eastAsia="Arial" w:hAnsi="Arial" w:cs="Arial"/>
          <w:color w:val="111111"/>
          <w:sz w:val="22"/>
          <w:szCs w:val="22"/>
        </w:rPr>
        <w:t>For each question, select one of three respo</w:t>
      </w:r>
      <w:r>
        <w:rPr>
          <w:rFonts w:ascii="Arial" w:eastAsia="Arial" w:hAnsi="Arial" w:cs="Arial"/>
          <w:color w:val="111111"/>
          <w:sz w:val="22"/>
          <w:szCs w:val="22"/>
        </w:rPr>
        <w:t>nses:</w:t>
      </w:r>
    </w:p>
    <w:p w14:paraId="12AC6424"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Yes — this control is fully implemented and evidenced.</w:t>
      </w:r>
    </w:p>
    <w:p w14:paraId="7A8A75EB"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Partial — this control is in progress, partially implemented, or inconsistently applied.</w:t>
      </w:r>
    </w:p>
    <w:p w14:paraId="2CDAA518"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No — this control is not in place.</w:t>
      </w:r>
    </w:p>
    <w:p w14:paraId="5AFC52C6" w14:textId="77777777" w:rsidR="00A60164" w:rsidRDefault="00414275">
      <w:pPr>
        <w:spacing w:after="160" w:line="276" w:lineRule="auto"/>
      </w:pPr>
      <w:r>
        <w:rPr>
          <w:rFonts w:ascii="Arial" w:eastAsia="Arial" w:hAnsi="Arial" w:cs="Arial"/>
          <w:color w:val="111111"/>
          <w:sz w:val="22"/>
          <w:szCs w:val="22"/>
        </w:rPr>
        <w:t>Questions are colour-coded by criticality. When you select No or Partia</w:t>
      </w:r>
      <w:r>
        <w:rPr>
          <w:rFonts w:ascii="Arial" w:eastAsia="Arial" w:hAnsi="Arial" w:cs="Arial"/>
          <w:color w:val="111111"/>
          <w:sz w:val="22"/>
          <w:szCs w:val="22"/>
        </w:rPr>
        <w:t>l, a hint appears offering a link to the Answer Library category most relevant to that gap, so you can find appropriate answers immediately.</w:t>
      </w:r>
    </w:p>
    <w:p w14:paraId="1D005398" w14:textId="77777777" w:rsidR="00A60164" w:rsidRDefault="00414275">
      <w:pPr>
        <w:pStyle w:val="Heading2"/>
        <w:spacing w:before="300" w:after="160"/>
      </w:pPr>
      <w:r>
        <w:rPr>
          <w:rFonts w:ascii="Arial" w:eastAsia="Arial" w:hAnsi="Arial" w:cs="Arial"/>
          <w:b/>
          <w:bCs/>
          <w:color w:val="2A7D6B"/>
          <w:sz w:val="32"/>
          <w:szCs w:val="32"/>
        </w:rPr>
        <w:t>Understanding Your Results</w:t>
      </w:r>
    </w:p>
    <w:p w14:paraId="3093A3A5" w14:textId="77777777" w:rsidR="00A60164" w:rsidRDefault="00414275">
      <w:pPr>
        <w:spacing w:after="160" w:line="276" w:lineRule="auto"/>
      </w:pPr>
      <w:r>
        <w:rPr>
          <w:rFonts w:ascii="Arial" w:eastAsia="Arial" w:hAnsi="Arial" w:cs="Arial"/>
          <w:color w:val="111111"/>
          <w:sz w:val="22"/>
          <w:szCs w:val="22"/>
        </w:rPr>
        <w:t>The Summary tab shows five score cards: Readiness percentage, Progress (answered / total</w:t>
      </w:r>
      <w:r>
        <w:rPr>
          <w:rFonts w:ascii="Arial" w:eastAsia="Arial" w:hAnsi="Arial" w:cs="Arial"/>
          <w:color w:val="111111"/>
          <w:sz w:val="22"/>
          <w:szCs w:val="22"/>
        </w:rPr>
        <w:t>), and counts for Yes, Partial, and No answers. The Readiness score is calculated as: (Yes + Partial × 0.5) ÷ Total questions × 100.</w:t>
      </w:r>
    </w:p>
    <w:p w14:paraId="2AF9B7FA" w14:textId="77777777" w:rsidR="00A60164" w:rsidRDefault="00414275">
      <w:pPr>
        <w:spacing w:after="160" w:line="276" w:lineRule="auto"/>
      </w:pPr>
      <w:r>
        <w:rPr>
          <w:rFonts w:ascii="Arial" w:eastAsia="Arial" w:hAnsi="Arial" w:cs="Arial"/>
          <w:color w:val="111111"/>
          <w:sz w:val="22"/>
          <w:szCs w:val="22"/>
        </w:rPr>
        <w:t>Risk rating bands:</w:t>
      </w:r>
    </w:p>
    <w:p w14:paraId="4913ACCA"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80%+ — Low Risk</w:t>
      </w:r>
    </w:p>
    <w:p w14:paraId="12D8995A"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60–79% — Medium Risk</w:t>
      </w:r>
    </w:p>
    <w:p w14:paraId="1A7FCE9D"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40–59% — High Risk</w:t>
      </w:r>
    </w:p>
    <w:p w14:paraId="34262A5D"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Below 40% — Critical Risk</w:t>
      </w:r>
    </w:p>
    <w:p w14:paraId="3733F6A5" w14:textId="77777777" w:rsidR="00A60164" w:rsidRDefault="00414275">
      <w:pPr>
        <w:spacing w:after="160" w:line="276" w:lineRule="auto"/>
      </w:pPr>
      <w:r>
        <w:rPr>
          <w:rFonts w:ascii="Arial" w:eastAsia="Arial" w:hAnsi="Arial" w:cs="Arial"/>
          <w:color w:val="111111"/>
          <w:sz w:val="22"/>
          <w:szCs w:val="22"/>
        </w:rPr>
        <w:t>The Score by Category section below the summary cards shows a horizontal bar for each category, colour-coded to the same risk bands. Click any category bar to jump to that category's question tab.</w:t>
      </w:r>
    </w:p>
    <w:p w14:paraId="5F89EF02" w14:textId="77777777" w:rsidR="00A60164" w:rsidRDefault="00414275">
      <w:pPr>
        <w:pStyle w:val="Heading2"/>
        <w:spacing w:before="300" w:after="160"/>
      </w:pPr>
      <w:r>
        <w:rPr>
          <w:rFonts w:ascii="Arial" w:eastAsia="Arial" w:hAnsi="Arial" w:cs="Arial"/>
          <w:b/>
          <w:bCs/>
          <w:color w:val="2A7D6B"/>
          <w:sz w:val="32"/>
          <w:szCs w:val="32"/>
        </w:rPr>
        <w:t>AI Remediation Plan (Professional)</w:t>
      </w:r>
    </w:p>
    <w:p w14:paraId="49A2FC1D" w14:textId="77777777" w:rsidR="00A60164" w:rsidRDefault="00414275">
      <w:pPr>
        <w:spacing w:after="160" w:line="276" w:lineRule="auto"/>
      </w:pPr>
      <w:r>
        <w:rPr>
          <w:rFonts w:ascii="Arial" w:eastAsia="Arial" w:hAnsi="Arial" w:cs="Arial"/>
          <w:color w:val="111111"/>
          <w:sz w:val="22"/>
          <w:szCs w:val="22"/>
        </w:rPr>
        <w:t>Once you have answered q</w:t>
      </w:r>
      <w:r>
        <w:rPr>
          <w:rFonts w:ascii="Arial" w:eastAsia="Arial" w:hAnsi="Arial" w:cs="Arial"/>
          <w:color w:val="111111"/>
          <w:sz w:val="22"/>
          <w:szCs w:val="22"/>
        </w:rPr>
        <w:t>uestions and have gaps (Partial or No answers), the AI Remediation Plan banner appears in the Summary tab. This feature requires a Professional licence and a configured AI provider.</w:t>
      </w:r>
    </w:p>
    <w:p w14:paraId="0CAEBCF4" w14:textId="77777777" w:rsidR="00A60164" w:rsidRDefault="00414275">
      <w:pPr>
        <w:pStyle w:val="ListParagraph"/>
        <w:numPr>
          <w:ilvl w:val="0"/>
          <w:numId w:val="2"/>
        </w:numPr>
        <w:spacing w:after="80" w:line="276" w:lineRule="auto"/>
      </w:pPr>
      <w:r>
        <w:rPr>
          <w:rFonts w:ascii="Arial" w:eastAsia="Arial" w:hAnsi="Arial" w:cs="Arial"/>
          <w:color w:val="111111"/>
          <w:sz w:val="22"/>
          <w:szCs w:val="22"/>
        </w:rPr>
        <w:t>Click Generate Remediation Plan. Ridgeguard sends each gap question to you</w:t>
      </w:r>
      <w:r>
        <w:rPr>
          <w:rFonts w:ascii="Arial" w:eastAsia="Arial" w:hAnsi="Arial" w:cs="Arial"/>
          <w:color w:val="111111"/>
          <w:sz w:val="22"/>
          <w:szCs w:val="22"/>
        </w:rPr>
        <w:t>r AI provider one at a time with full context about the gap and your company profile.</w:t>
      </w:r>
    </w:p>
    <w:p w14:paraId="26939D02" w14:textId="77777777" w:rsidR="00A60164" w:rsidRDefault="00414275">
      <w:pPr>
        <w:pStyle w:val="ListParagraph"/>
        <w:numPr>
          <w:ilvl w:val="0"/>
          <w:numId w:val="2"/>
        </w:numPr>
        <w:spacing w:after="80" w:line="276" w:lineRule="auto"/>
      </w:pPr>
      <w:r>
        <w:rPr>
          <w:rFonts w:ascii="Arial" w:eastAsia="Arial" w:hAnsi="Arial" w:cs="Arial"/>
          <w:color w:val="111111"/>
          <w:sz w:val="22"/>
          <w:szCs w:val="22"/>
        </w:rPr>
        <w:t>Recommendations appear in the Remediation Plan tab, sorted by priority (Critical first, then High, Medium, Low) and then by type (Quick Win, Project, Strategic).</w:t>
      </w:r>
    </w:p>
    <w:p w14:paraId="07FB0A54" w14:textId="77777777" w:rsidR="00A60164" w:rsidRDefault="00414275">
      <w:pPr>
        <w:pStyle w:val="ListParagraph"/>
        <w:numPr>
          <w:ilvl w:val="0"/>
          <w:numId w:val="2"/>
        </w:numPr>
        <w:spacing w:after="80" w:line="276" w:lineRule="auto"/>
      </w:pPr>
      <w:r>
        <w:rPr>
          <w:rFonts w:ascii="Arial" w:eastAsia="Arial" w:hAnsi="Arial" w:cs="Arial"/>
          <w:color w:val="111111"/>
          <w:sz w:val="22"/>
          <w:szCs w:val="22"/>
        </w:rPr>
        <w:t>Each rec</w:t>
      </w:r>
      <w:r>
        <w:rPr>
          <w:rFonts w:ascii="Arial" w:eastAsia="Arial" w:hAnsi="Arial" w:cs="Arial"/>
          <w:color w:val="111111"/>
          <w:sz w:val="22"/>
          <w:szCs w:val="22"/>
        </w:rPr>
        <w:t>ommendation card shows the priority and effort estimate. You can edit any recommendation inline or dismiss it if it is not applicable.</w:t>
      </w:r>
    </w:p>
    <w:p w14:paraId="44C7FF9F" w14:textId="77777777" w:rsidR="00A60164" w:rsidRDefault="00414275">
      <w:pPr>
        <w:pStyle w:val="ListParagraph"/>
        <w:numPr>
          <w:ilvl w:val="0"/>
          <w:numId w:val="2"/>
        </w:numPr>
        <w:spacing w:after="80" w:line="276" w:lineRule="auto"/>
      </w:pPr>
      <w:r>
        <w:rPr>
          <w:rFonts w:ascii="Arial" w:eastAsia="Arial" w:hAnsi="Arial" w:cs="Arial"/>
          <w:color w:val="111111"/>
          <w:sz w:val="22"/>
          <w:szCs w:val="22"/>
        </w:rPr>
        <w:t>Export the full plan to CSV using the Export CSV button in the Remediation Plan tab.</w:t>
      </w:r>
    </w:p>
    <w:p w14:paraId="47A65F10" w14:textId="77777777" w:rsidR="00A60164" w:rsidRDefault="00414275">
      <w:pPr>
        <w:spacing w:after="160" w:line="276" w:lineRule="auto"/>
        <w:ind w:left="720"/>
      </w:pPr>
      <w:r>
        <w:rPr>
          <w:rFonts w:ascii="Arial" w:eastAsia="Arial" w:hAnsi="Arial" w:cs="Arial"/>
          <w:i/>
          <w:iCs/>
          <w:color w:val="6B7280"/>
        </w:rPr>
        <w:t>You can pause and resume the generat</w:t>
      </w:r>
      <w:r>
        <w:rPr>
          <w:rFonts w:ascii="Arial" w:eastAsia="Arial" w:hAnsi="Arial" w:cs="Arial"/>
          <w:i/>
          <w:iCs/>
          <w:color w:val="6B7280"/>
        </w:rPr>
        <w:t>ion process at any time — useful if you have a large number of gaps and want to review partial results.</w:t>
      </w:r>
    </w:p>
    <w:p w14:paraId="5499BCA8" w14:textId="77777777" w:rsidR="00A60164" w:rsidRDefault="00414275">
      <w:pPr>
        <w:pStyle w:val="Heading2"/>
        <w:spacing w:before="300" w:after="160"/>
      </w:pPr>
      <w:r>
        <w:rPr>
          <w:rFonts w:ascii="Arial" w:eastAsia="Arial" w:hAnsi="Arial" w:cs="Arial"/>
          <w:b/>
          <w:bCs/>
          <w:color w:val="2A7D6B"/>
          <w:sz w:val="32"/>
          <w:szCs w:val="32"/>
        </w:rPr>
        <w:t>Retaking an Assessment</w:t>
      </w:r>
    </w:p>
    <w:p w14:paraId="28E75CB0" w14:textId="77777777" w:rsidR="00A60164" w:rsidRDefault="00414275">
      <w:pPr>
        <w:spacing w:after="160" w:line="276" w:lineRule="auto"/>
      </w:pPr>
      <w:r>
        <w:rPr>
          <w:rFonts w:ascii="Arial" w:eastAsia="Arial" w:hAnsi="Arial" w:cs="Arial"/>
          <w:color w:val="111111"/>
          <w:sz w:val="22"/>
          <w:szCs w:val="22"/>
        </w:rPr>
        <w:lastRenderedPageBreak/>
        <w:t>Click the Reset button in the toolbar to clear all answers for the current assessment mode. You will be asked to confirm before any data is cleared. Resetting one mode does not affect answers in the other mode.</w:t>
      </w:r>
    </w:p>
    <w:p w14:paraId="590C70A4" w14:textId="07E95F66" w:rsidR="00A60164" w:rsidRDefault="00414275" w:rsidP="001B2934">
      <w:pPr>
        <w:spacing w:after="160" w:line="276" w:lineRule="auto"/>
      </w:pPr>
      <w:r>
        <w:rPr>
          <w:rFonts w:ascii="Arial" w:eastAsia="Arial" w:hAnsi="Arial" w:cs="Arial"/>
          <w:color w:val="111111"/>
          <w:sz w:val="22"/>
          <w:szCs w:val="22"/>
        </w:rPr>
        <w:t>To export your assessment results, click Expo</w:t>
      </w:r>
      <w:r>
        <w:rPr>
          <w:rFonts w:ascii="Arial" w:eastAsia="Arial" w:hAnsi="Arial" w:cs="Arial"/>
          <w:color w:val="111111"/>
          <w:sz w:val="22"/>
          <w:szCs w:val="22"/>
        </w:rPr>
        <w:t>rt CSV (available on both tiers) or Export XLSX (Professional only). The export includes all questions, your answers, category scores, and a list of identified gaps.</w:t>
      </w:r>
    </w:p>
    <w:p w14:paraId="4D4A1C84" w14:textId="77777777" w:rsidR="00A60164" w:rsidRDefault="00414275">
      <w:pPr>
        <w:pStyle w:val="Heading1"/>
        <w:spacing w:before="400" w:after="200"/>
      </w:pPr>
      <w:r>
        <w:rPr>
          <w:rFonts w:ascii="Arial" w:eastAsia="Arial" w:hAnsi="Arial" w:cs="Arial"/>
          <w:b/>
          <w:bCs/>
          <w:color w:val="0F2B3D"/>
          <w:sz w:val="48"/>
          <w:szCs w:val="48"/>
        </w:rPr>
        <w:t>Chapter 5: Importing Questionnaires</w:t>
      </w:r>
    </w:p>
    <w:p w14:paraId="2F34E519" w14:textId="77777777" w:rsidR="00A60164" w:rsidRDefault="00414275">
      <w:pPr>
        <w:pStyle w:val="Heading2"/>
        <w:spacing w:before="300" w:after="160"/>
      </w:pPr>
      <w:r>
        <w:rPr>
          <w:rFonts w:ascii="Arial" w:eastAsia="Arial" w:hAnsi="Arial" w:cs="Arial"/>
          <w:b/>
          <w:bCs/>
          <w:color w:val="2A7D6B"/>
          <w:sz w:val="32"/>
          <w:szCs w:val="32"/>
        </w:rPr>
        <w:t>The Import Workflow</w:t>
      </w:r>
    </w:p>
    <w:p w14:paraId="1B45AE33" w14:textId="77777777" w:rsidR="00A60164" w:rsidRDefault="00414275">
      <w:pPr>
        <w:spacing w:after="160" w:line="276" w:lineRule="auto"/>
      </w:pPr>
      <w:r>
        <w:rPr>
          <w:rFonts w:ascii="Arial" w:eastAsia="Arial" w:hAnsi="Arial" w:cs="Arial"/>
          <w:color w:val="111111"/>
          <w:sz w:val="22"/>
          <w:szCs w:val="22"/>
        </w:rPr>
        <w:t>Import Questionnaire is the core</w:t>
      </w:r>
      <w:r>
        <w:rPr>
          <w:rFonts w:ascii="Arial" w:eastAsia="Arial" w:hAnsi="Arial" w:cs="Arial"/>
          <w:color w:val="111111"/>
          <w:sz w:val="22"/>
          <w:szCs w:val="22"/>
        </w:rPr>
        <w:t xml:space="preserve"> productivity feature of Ridgeguard. When a customer or prospect sends you a security questionnaire, you upload it here. Ridgeguard automatically matches each question to the most relevant answer in the library using a TF-IDF fuzzy matching engine with syn</w:t>
      </w:r>
      <w:r>
        <w:rPr>
          <w:rFonts w:ascii="Arial" w:eastAsia="Arial" w:hAnsi="Arial" w:cs="Arial"/>
          <w:color w:val="111111"/>
          <w:sz w:val="22"/>
          <w:szCs w:val="22"/>
        </w:rPr>
        <w:t>onym expansion. The result is a partially or fully completed questionnaire that you review, adjust, and export.</w:t>
      </w:r>
    </w:p>
    <w:p w14:paraId="5B38A441" w14:textId="77777777" w:rsidR="00A60164" w:rsidRDefault="00414275">
      <w:pPr>
        <w:spacing w:after="160" w:line="276" w:lineRule="auto"/>
      </w:pPr>
      <w:r>
        <w:rPr>
          <w:rFonts w:ascii="Arial" w:eastAsia="Arial" w:hAnsi="Arial" w:cs="Arial"/>
          <w:color w:val="111111"/>
          <w:sz w:val="22"/>
          <w:szCs w:val="22"/>
        </w:rPr>
        <w:t xml:space="preserve">The workflow is a five-step wizard. Your progress is automatically saved as an import session, so you can leave and return without losing work. </w:t>
      </w:r>
      <w:r>
        <w:rPr>
          <w:rFonts w:ascii="Arial" w:eastAsia="Arial" w:hAnsi="Arial" w:cs="Arial"/>
          <w:color w:val="111111"/>
          <w:sz w:val="22"/>
          <w:szCs w:val="22"/>
        </w:rPr>
        <w:t>Multiple sessions can be open simultaneously.</w:t>
      </w:r>
    </w:p>
    <w:p w14:paraId="270247A1" w14:textId="77777777" w:rsidR="00A60164" w:rsidRDefault="00414275">
      <w:pPr>
        <w:pStyle w:val="Heading2"/>
        <w:spacing w:before="300" w:after="160"/>
      </w:pPr>
      <w:r>
        <w:rPr>
          <w:rFonts w:ascii="Arial" w:eastAsia="Arial" w:hAnsi="Arial" w:cs="Arial"/>
          <w:b/>
          <w:bCs/>
          <w:color w:val="2A7D6B"/>
          <w:sz w:val="32"/>
          <w:szCs w:val="32"/>
        </w:rPr>
        <w:t>Step 1 – Upload File</w:t>
      </w:r>
    </w:p>
    <w:p w14:paraId="1D82A230" w14:textId="77777777" w:rsidR="00A60164" w:rsidRDefault="00414275">
      <w:pPr>
        <w:spacing w:after="160" w:line="276" w:lineRule="auto"/>
      </w:pPr>
      <w:r>
        <w:rPr>
          <w:rFonts w:ascii="Arial" w:eastAsia="Arial" w:hAnsi="Arial" w:cs="Arial"/>
          <w:color w:val="111111"/>
          <w:sz w:val="22"/>
          <w:szCs w:val="22"/>
        </w:rPr>
        <w:t>Click the upload area or drag and drop a file to begin. Supported formats are XLSX (Excel spreadsheet) and DOCX (Word document). CSV files are not supported for import but are available for</w:t>
      </w:r>
      <w:r>
        <w:rPr>
          <w:rFonts w:ascii="Arial" w:eastAsia="Arial" w:hAnsi="Arial" w:cs="Arial"/>
          <w:color w:val="111111"/>
          <w:sz w:val="22"/>
          <w:szCs w:val="22"/>
        </w:rPr>
        <w:t xml:space="preserve"> export.</w:t>
      </w:r>
    </w:p>
    <w:p w14:paraId="3794D5D8" w14:textId="77777777" w:rsidR="00A60164" w:rsidRDefault="00414275">
      <w:pPr>
        <w:spacing w:after="160" w:line="276" w:lineRule="auto"/>
      </w:pPr>
      <w:r>
        <w:rPr>
          <w:rFonts w:ascii="Arial" w:eastAsia="Arial" w:hAnsi="Arial" w:cs="Arial"/>
          <w:color w:val="111111"/>
          <w:sz w:val="22"/>
          <w:szCs w:val="22"/>
        </w:rPr>
        <w:t>For XLSX files, Ridgeguard inspects the first sheet and detects the header row automatically. For DOCX files that contain tables, you select which table to import from a preview list.</w:t>
      </w:r>
    </w:p>
    <w:p w14:paraId="63DC811B" w14:textId="77777777" w:rsidR="00A60164" w:rsidRDefault="00414275">
      <w:pPr>
        <w:spacing w:after="160" w:line="276" w:lineRule="auto"/>
        <w:ind w:left="720"/>
      </w:pPr>
      <w:r>
        <w:rPr>
          <w:rFonts w:ascii="Arial" w:eastAsia="Arial" w:hAnsi="Arial" w:cs="Arial"/>
          <w:i/>
          <w:iCs/>
          <w:color w:val="6B7280"/>
        </w:rPr>
        <w:t>Tip: Most vendor questionnaires use the first row of a spreadsh</w:t>
      </w:r>
      <w:r>
        <w:rPr>
          <w:rFonts w:ascii="Arial" w:eastAsia="Arial" w:hAnsi="Arial" w:cs="Arial"/>
          <w:i/>
          <w:iCs/>
          <w:color w:val="6B7280"/>
        </w:rPr>
        <w:t>eet as the header. If the header detection is wrong, you can override the column mapping in the next step.</w:t>
      </w:r>
    </w:p>
    <w:p w14:paraId="1D51C725" w14:textId="77777777" w:rsidR="00A60164" w:rsidRDefault="00414275">
      <w:pPr>
        <w:pStyle w:val="Heading2"/>
        <w:spacing w:before="300" w:after="160"/>
      </w:pPr>
      <w:r>
        <w:rPr>
          <w:rFonts w:ascii="Arial" w:eastAsia="Arial" w:hAnsi="Arial" w:cs="Arial"/>
          <w:b/>
          <w:bCs/>
          <w:color w:val="2A7D6B"/>
          <w:sz w:val="32"/>
          <w:szCs w:val="32"/>
        </w:rPr>
        <w:t>Step 2 – Map Columns</w:t>
      </w:r>
    </w:p>
    <w:p w14:paraId="6551A437" w14:textId="77777777" w:rsidR="00A60164" w:rsidRDefault="00414275">
      <w:pPr>
        <w:spacing w:after="160" w:line="276" w:lineRule="auto"/>
      </w:pPr>
      <w:r>
        <w:rPr>
          <w:rFonts w:ascii="Arial" w:eastAsia="Arial" w:hAnsi="Arial" w:cs="Arial"/>
          <w:color w:val="111111"/>
          <w:sz w:val="22"/>
          <w:szCs w:val="22"/>
        </w:rPr>
        <w:t>Ridgeguard shows the detected column headers from your file. Map each column to its role in the questionnaire:</w:t>
      </w:r>
    </w:p>
    <w:p w14:paraId="0815C0A7"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Question column —</w:t>
      </w:r>
      <w:r>
        <w:rPr>
          <w:rFonts w:ascii="Arial" w:eastAsia="Arial" w:hAnsi="Arial" w:cs="Arial"/>
          <w:color w:val="111111"/>
          <w:sz w:val="22"/>
          <w:szCs w:val="22"/>
        </w:rPr>
        <w:t xml:space="preserve"> the column that contains the question text. This is required.</w:t>
      </w:r>
    </w:p>
    <w:p w14:paraId="458C8502"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Answer column — the column where your response will be written. This is required.</w:t>
      </w:r>
    </w:p>
    <w:p w14:paraId="3AD77C5D"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Additional columns — any reference, category, or notes columns you want to preserve in the export.</w:t>
      </w:r>
    </w:p>
    <w:p w14:paraId="77CABF11" w14:textId="77777777" w:rsidR="00A60164" w:rsidRDefault="00414275">
      <w:pPr>
        <w:spacing w:after="160" w:line="276" w:lineRule="auto"/>
      </w:pPr>
      <w:r>
        <w:rPr>
          <w:rFonts w:ascii="Arial" w:eastAsia="Arial" w:hAnsi="Arial" w:cs="Arial"/>
          <w:color w:val="111111"/>
          <w:sz w:val="22"/>
          <w:szCs w:val="22"/>
        </w:rPr>
        <w:t>Once you have set the mappings, click Next to run the matching engine. This runs entirely on your device with no data leaving your machine.</w:t>
      </w:r>
    </w:p>
    <w:p w14:paraId="3810F3BA" w14:textId="77777777" w:rsidR="00A60164" w:rsidRDefault="00414275">
      <w:pPr>
        <w:pStyle w:val="Heading2"/>
        <w:spacing w:before="300" w:after="160"/>
      </w:pPr>
      <w:r>
        <w:rPr>
          <w:rFonts w:ascii="Arial" w:eastAsia="Arial" w:hAnsi="Arial" w:cs="Arial"/>
          <w:b/>
          <w:bCs/>
          <w:color w:val="2A7D6B"/>
          <w:sz w:val="32"/>
          <w:szCs w:val="32"/>
        </w:rPr>
        <w:lastRenderedPageBreak/>
        <w:t>Step 3 – Review M</w:t>
      </w:r>
      <w:r>
        <w:rPr>
          <w:rFonts w:ascii="Arial" w:eastAsia="Arial" w:hAnsi="Arial" w:cs="Arial"/>
          <w:b/>
          <w:bCs/>
          <w:color w:val="2A7D6B"/>
          <w:sz w:val="32"/>
          <w:szCs w:val="32"/>
        </w:rPr>
        <w:t>atches</w:t>
      </w:r>
    </w:p>
    <w:p w14:paraId="7D62E67B" w14:textId="77777777" w:rsidR="00A60164" w:rsidRDefault="00414275">
      <w:pPr>
        <w:spacing w:after="160" w:line="276" w:lineRule="auto"/>
      </w:pPr>
      <w:r>
        <w:rPr>
          <w:rFonts w:ascii="Arial" w:eastAsia="Arial" w:hAnsi="Arial" w:cs="Arial"/>
          <w:color w:val="111111"/>
          <w:sz w:val="22"/>
          <w:szCs w:val="22"/>
        </w:rPr>
        <w:t>Each question from your file is displayed with its best-matched answer from the library. Matches are categorised into confidence levels:</w:t>
      </w:r>
    </w:p>
    <w:p w14:paraId="5630FA90"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High confidence — the question closely matches a library entry. The answer is shown pre-filled and ready to use.</w:t>
      </w:r>
    </w:p>
    <w:p w14:paraId="30094626"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Medium confidence — a reasonable match was found but may need adjustment. Review these carefully.</w:t>
      </w:r>
    </w:p>
    <w:p w14:paraId="6ED4DF7E"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Low confidence — a partial match was found. The answer may not be appropriate; consider editing or replacing it.</w:t>
      </w:r>
    </w:p>
    <w:p w14:paraId="778ECDBF"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No match — no suitable answer was found. You</w:t>
      </w:r>
      <w:r>
        <w:rPr>
          <w:rFonts w:ascii="Arial" w:eastAsia="Arial" w:hAnsi="Arial" w:cs="Arial"/>
          <w:color w:val="111111"/>
          <w:sz w:val="22"/>
          <w:szCs w:val="22"/>
        </w:rPr>
        <w:t xml:space="preserve"> need to write a custom answer or use AI generation.</w:t>
      </w:r>
    </w:p>
    <w:p w14:paraId="3C7804A9" w14:textId="77777777" w:rsidR="00A60164" w:rsidRDefault="00414275">
      <w:pPr>
        <w:spacing w:after="160" w:line="276" w:lineRule="auto"/>
      </w:pPr>
      <w:r>
        <w:rPr>
          <w:rFonts w:ascii="Arial" w:eastAsia="Arial" w:hAnsi="Arial" w:cs="Arial"/>
          <w:color w:val="111111"/>
          <w:sz w:val="22"/>
          <w:szCs w:val="22"/>
        </w:rPr>
        <w:t>Use the filter buttons at the top of the review list to focus on any confidence level. For each row, you can accept the suggested answer, choose a different library answer, or type your own response dire</w:t>
      </w:r>
      <w:r>
        <w:rPr>
          <w:rFonts w:ascii="Arial" w:eastAsia="Arial" w:hAnsi="Arial" w:cs="Arial"/>
          <w:color w:val="111111"/>
          <w:sz w:val="22"/>
          <w:szCs w:val="22"/>
        </w:rPr>
        <w:t>ctly into the answer field.</w:t>
      </w:r>
    </w:p>
    <w:p w14:paraId="63578D00" w14:textId="77777777" w:rsidR="00A60164" w:rsidRDefault="00414275">
      <w:pPr>
        <w:spacing w:after="160" w:line="276" w:lineRule="auto"/>
      </w:pPr>
      <w:r>
        <w:rPr>
          <w:rFonts w:ascii="Arial" w:eastAsia="Arial" w:hAnsi="Arial" w:cs="Arial"/>
          <w:color w:val="111111"/>
          <w:sz w:val="22"/>
          <w:szCs w:val="22"/>
        </w:rPr>
        <w:t>You can select which maturity tier to use for matched answers — Early Stage, Established, or Mature — using the tier selector shown on each card.</w:t>
      </w:r>
    </w:p>
    <w:p w14:paraId="30C92F63" w14:textId="77777777" w:rsidR="00A60164" w:rsidRDefault="00414275">
      <w:pPr>
        <w:pStyle w:val="Heading2"/>
        <w:spacing w:before="300" w:after="160"/>
      </w:pPr>
      <w:r>
        <w:rPr>
          <w:rFonts w:ascii="Arial" w:eastAsia="Arial" w:hAnsi="Arial" w:cs="Arial"/>
          <w:b/>
          <w:bCs/>
          <w:color w:val="2A7D6B"/>
          <w:sz w:val="32"/>
          <w:szCs w:val="32"/>
        </w:rPr>
        <w:t>Step 4 – AI Auto-Complete (Professional)</w:t>
      </w:r>
    </w:p>
    <w:p w14:paraId="312BC281" w14:textId="77777777" w:rsidR="00A60164" w:rsidRDefault="00414275">
      <w:pPr>
        <w:spacing w:after="160" w:line="276" w:lineRule="auto"/>
      </w:pPr>
      <w:r>
        <w:rPr>
          <w:rFonts w:ascii="Arial" w:eastAsia="Arial" w:hAnsi="Arial" w:cs="Arial"/>
          <w:color w:val="111111"/>
          <w:sz w:val="22"/>
          <w:szCs w:val="22"/>
        </w:rPr>
        <w:t>If you have an AI provider configured and</w:t>
      </w:r>
      <w:r>
        <w:rPr>
          <w:rFonts w:ascii="Arial" w:eastAsia="Arial" w:hAnsi="Arial" w:cs="Arial"/>
          <w:color w:val="111111"/>
          <w:sz w:val="22"/>
          <w:szCs w:val="22"/>
        </w:rPr>
        <w:t xml:space="preserve"> a Professional licence, you can ask the AI to generate answers for questions that were not matched or that you want to improve. This is the most time-saving feature for complex or unusual questionnaires.</w:t>
      </w:r>
    </w:p>
    <w:p w14:paraId="76D1AB06" w14:textId="77777777" w:rsidR="00A60164" w:rsidRDefault="00414275">
      <w:pPr>
        <w:pStyle w:val="ListParagraph"/>
        <w:numPr>
          <w:ilvl w:val="0"/>
          <w:numId w:val="2"/>
        </w:numPr>
        <w:spacing w:after="80" w:line="276" w:lineRule="auto"/>
      </w:pPr>
      <w:r>
        <w:rPr>
          <w:rFonts w:ascii="Arial" w:eastAsia="Arial" w:hAnsi="Arial" w:cs="Arial"/>
          <w:color w:val="111111"/>
          <w:sz w:val="22"/>
          <w:szCs w:val="22"/>
        </w:rPr>
        <w:t>Click Generate AI Answers. You can target all unmat</w:t>
      </w:r>
      <w:r>
        <w:rPr>
          <w:rFonts w:ascii="Arial" w:eastAsia="Arial" w:hAnsi="Arial" w:cs="Arial"/>
          <w:color w:val="111111"/>
          <w:sz w:val="22"/>
          <w:szCs w:val="22"/>
        </w:rPr>
        <w:t>ched questions, all low-confidence matches, or the entire questionnaire.</w:t>
      </w:r>
    </w:p>
    <w:p w14:paraId="649AEF0D" w14:textId="77777777" w:rsidR="00A60164" w:rsidRDefault="00414275">
      <w:pPr>
        <w:pStyle w:val="ListParagraph"/>
        <w:numPr>
          <w:ilvl w:val="0"/>
          <w:numId w:val="2"/>
        </w:numPr>
        <w:spacing w:after="80" w:line="276" w:lineRule="auto"/>
      </w:pPr>
      <w:r>
        <w:rPr>
          <w:rFonts w:ascii="Arial" w:eastAsia="Arial" w:hAnsi="Arial" w:cs="Arial"/>
          <w:color w:val="111111"/>
          <w:sz w:val="22"/>
          <w:szCs w:val="22"/>
        </w:rPr>
        <w:t>Ridgeguard sends each question to your AI provider with context from your company profile. This runs as a batch with a short delay between calls to avoid rate limits.</w:t>
      </w:r>
    </w:p>
    <w:p w14:paraId="26D1B8E4" w14:textId="77777777" w:rsidR="00A60164" w:rsidRDefault="00414275">
      <w:pPr>
        <w:pStyle w:val="ListParagraph"/>
        <w:numPr>
          <w:ilvl w:val="0"/>
          <w:numId w:val="2"/>
        </w:numPr>
        <w:spacing w:after="80" w:line="276" w:lineRule="auto"/>
      </w:pPr>
      <w:r>
        <w:rPr>
          <w:rFonts w:ascii="Arial" w:eastAsia="Arial" w:hAnsi="Arial" w:cs="Arial"/>
          <w:color w:val="111111"/>
          <w:sz w:val="22"/>
          <w:szCs w:val="22"/>
        </w:rPr>
        <w:t>Generated answer</w:t>
      </w:r>
      <w:r>
        <w:rPr>
          <w:rFonts w:ascii="Arial" w:eastAsia="Arial" w:hAnsi="Arial" w:cs="Arial"/>
          <w:color w:val="111111"/>
          <w:sz w:val="22"/>
          <w:szCs w:val="22"/>
        </w:rPr>
        <w:t>s appear inline. Review and adjust them before exporting.</w:t>
      </w:r>
    </w:p>
    <w:p w14:paraId="56AEBD45" w14:textId="77777777" w:rsidR="00A60164" w:rsidRDefault="00414275">
      <w:pPr>
        <w:pStyle w:val="ListParagraph"/>
        <w:numPr>
          <w:ilvl w:val="0"/>
          <w:numId w:val="2"/>
        </w:numPr>
        <w:spacing w:after="80" w:line="276" w:lineRule="auto"/>
      </w:pPr>
      <w:r>
        <w:rPr>
          <w:rFonts w:ascii="Arial" w:eastAsia="Arial" w:hAnsi="Arial" w:cs="Arial"/>
          <w:color w:val="111111"/>
          <w:sz w:val="22"/>
          <w:szCs w:val="22"/>
        </w:rPr>
        <w:t>You can pause, resume, or cancel the batch at any time.</w:t>
      </w:r>
    </w:p>
    <w:p w14:paraId="089FF3FC" w14:textId="77777777" w:rsidR="00A60164" w:rsidRDefault="00414275">
      <w:pPr>
        <w:spacing w:after="160" w:line="276" w:lineRule="auto"/>
        <w:ind w:left="720"/>
      </w:pPr>
      <w:r>
        <w:rPr>
          <w:rFonts w:ascii="Arial" w:eastAsia="Arial" w:hAnsi="Arial" w:cs="Arial"/>
          <w:i/>
          <w:iCs/>
          <w:color w:val="6B7280"/>
        </w:rPr>
        <w:t xml:space="preserve">Tip: The AI uses your company profile — name, industry, framework, cloud providers — to personalise every answer. A complete profile produces </w:t>
      </w:r>
      <w:r>
        <w:rPr>
          <w:rFonts w:ascii="Arial" w:eastAsia="Arial" w:hAnsi="Arial" w:cs="Arial"/>
          <w:i/>
          <w:iCs/>
          <w:color w:val="6B7280"/>
        </w:rPr>
        <w:t>noticeably better results.</w:t>
      </w:r>
    </w:p>
    <w:p w14:paraId="7B5FBDF2" w14:textId="77777777" w:rsidR="00A60164" w:rsidRDefault="00414275">
      <w:pPr>
        <w:pStyle w:val="Heading2"/>
        <w:spacing w:before="300" w:after="160"/>
      </w:pPr>
      <w:r>
        <w:rPr>
          <w:rFonts w:ascii="Arial" w:eastAsia="Arial" w:hAnsi="Arial" w:cs="Arial"/>
          <w:b/>
          <w:bCs/>
          <w:color w:val="2A7D6B"/>
          <w:sz w:val="32"/>
          <w:szCs w:val="32"/>
        </w:rPr>
        <w:t>Step 5 – Export</w:t>
      </w:r>
    </w:p>
    <w:p w14:paraId="2306DDFC" w14:textId="77777777" w:rsidR="00A60164" w:rsidRDefault="00414275">
      <w:pPr>
        <w:spacing w:after="160" w:line="276" w:lineRule="auto"/>
      </w:pPr>
      <w:r>
        <w:rPr>
          <w:rFonts w:ascii="Arial" w:eastAsia="Arial" w:hAnsi="Arial" w:cs="Arial"/>
          <w:color w:val="111111"/>
          <w:sz w:val="22"/>
          <w:szCs w:val="22"/>
        </w:rPr>
        <w:t>When you are satisfied with all answers, export the completed questionnaire. The output preserves the original file structure — the recipient gets back their own template with your answers filled in.</w:t>
      </w:r>
    </w:p>
    <w:p w14:paraId="597EC3C5"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Export XLSX — Professional only. Produces a formatted Excel file matching the original layout.</w:t>
      </w:r>
    </w:p>
    <w:p w14:paraId="6F293162"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Export CSV — available on all tiers. Produces a comma-separated file that can be opened in Excel or similar tools.</w:t>
      </w:r>
    </w:p>
    <w:p w14:paraId="1A586E1F" w14:textId="77777777" w:rsidR="00A60164" w:rsidRDefault="00414275">
      <w:pPr>
        <w:spacing w:after="160" w:line="276" w:lineRule="auto"/>
      </w:pPr>
      <w:r>
        <w:rPr>
          <w:rFonts w:ascii="Arial" w:eastAsia="Arial" w:hAnsi="Arial" w:cs="Arial"/>
          <w:color w:val="111111"/>
          <w:sz w:val="22"/>
          <w:szCs w:val="22"/>
        </w:rPr>
        <w:lastRenderedPageBreak/>
        <w:t>After exporting, Ridgeguard asks if you want t</w:t>
      </w:r>
      <w:r>
        <w:rPr>
          <w:rFonts w:ascii="Arial" w:eastAsia="Arial" w:hAnsi="Arial" w:cs="Arial"/>
          <w:color w:val="111111"/>
          <w:sz w:val="22"/>
          <w:szCs w:val="22"/>
        </w:rPr>
        <w:t>o log this activity in your history. Enter the recipient company name, the questionnaire file name, and the match rate, then click Save to History.</w:t>
      </w:r>
    </w:p>
    <w:p w14:paraId="4D8555EE" w14:textId="77777777" w:rsidR="00A60164" w:rsidRDefault="00414275">
      <w:pPr>
        <w:pStyle w:val="Heading2"/>
        <w:spacing w:before="300" w:after="160"/>
      </w:pPr>
      <w:r>
        <w:rPr>
          <w:rFonts w:ascii="Arial" w:eastAsia="Arial" w:hAnsi="Arial" w:cs="Arial"/>
          <w:b/>
          <w:bCs/>
          <w:color w:val="2A7D6B"/>
          <w:sz w:val="32"/>
          <w:szCs w:val="32"/>
        </w:rPr>
        <w:t>Tips for Better Matching</w:t>
      </w:r>
    </w:p>
    <w:p w14:paraId="0F3E6DEC" w14:textId="77777777" w:rsidR="00A60164" w:rsidRDefault="00414275">
      <w:pPr>
        <w:spacing w:after="160" w:line="276" w:lineRule="auto"/>
        <w:ind w:left="720"/>
      </w:pPr>
      <w:r>
        <w:rPr>
          <w:rFonts w:ascii="Arial" w:eastAsia="Arial" w:hAnsi="Arial" w:cs="Arial"/>
          <w:i/>
          <w:iCs/>
          <w:color w:val="6B7280"/>
        </w:rPr>
        <w:t>The matching engine uses synonym expansion, so abbreviations like MFA, SSO, SIEM, WAF, and EDR are expanded automatically. You do not need to spell them out.</w:t>
      </w:r>
    </w:p>
    <w:p w14:paraId="690B9DC5" w14:textId="77777777" w:rsidR="00A60164" w:rsidRDefault="00414275">
      <w:pPr>
        <w:spacing w:after="160" w:line="276" w:lineRule="auto"/>
        <w:ind w:left="720"/>
      </w:pPr>
      <w:r>
        <w:rPr>
          <w:rFonts w:ascii="Arial" w:eastAsia="Arial" w:hAnsi="Arial" w:cs="Arial"/>
          <w:i/>
          <w:iCs/>
          <w:color w:val="6B7280"/>
        </w:rPr>
        <w:t>Questions that ask about very specific technical configurations (e.g. exact patch cycle times) oft</w:t>
      </w:r>
      <w:r>
        <w:rPr>
          <w:rFonts w:ascii="Arial" w:eastAsia="Arial" w:hAnsi="Arial" w:cs="Arial"/>
          <w:i/>
          <w:iCs/>
          <w:color w:val="6B7280"/>
        </w:rPr>
        <w:t>en score low — these are good candidates for AI generation.</w:t>
      </w:r>
    </w:p>
    <w:p w14:paraId="7748656B" w14:textId="7C54CA1F" w:rsidR="00A60164" w:rsidRDefault="00414275" w:rsidP="001B2934">
      <w:pPr>
        <w:spacing w:after="160" w:line="276" w:lineRule="auto"/>
        <w:ind w:left="720"/>
      </w:pPr>
      <w:r>
        <w:rPr>
          <w:rFonts w:ascii="Arial" w:eastAsia="Arial" w:hAnsi="Arial" w:cs="Arial"/>
          <w:i/>
          <w:iCs/>
          <w:color w:val="6B7280"/>
        </w:rPr>
        <w:t>If a particular vendor always uses unusual phrasing, consider adding custom answers to the library using the exact terminology they use. Future imports from that vendor will match better.</w:t>
      </w:r>
    </w:p>
    <w:p w14:paraId="2F67BD12" w14:textId="77777777" w:rsidR="00A60164" w:rsidRDefault="00414275">
      <w:pPr>
        <w:pStyle w:val="Heading1"/>
        <w:spacing w:before="400" w:after="200"/>
      </w:pPr>
      <w:r>
        <w:rPr>
          <w:rFonts w:ascii="Arial" w:eastAsia="Arial" w:hAnsi="Arial" w:cs="Arial"/>
          <w:b/>
          <w:bCs/>
          <w:color w:val="0F2B3D"/>
          <w:sz w:val="48"/>
          <w:szCs w:val="48"/>
        </w:rPr>
        <w:t>Chapte</w:t>
      </w:r>
      <w:r>
        <w:rPr>
          <w:rFonts w:ascii="Arial" w:eastAsia="Arial" w:hAnsi="Arial" w:cs="Arial"/>
          <w:b/>
          <w:bCs/>
          <w:color w:val="0F2B3D"/>
          <w:sz w:val="48"/>
          <w:szCs w:val="48"/>
        </w:rPr>
        <w:t>r 6: Answer Library</w:t>
      </w:r>
    </w:p>
    <w:p w14:paraId="39CD377A" w14:textId="77777777" w:rsidR="00A60164" w:rsidRDefault="00414275">
      <w:pPr>
        <w:pStyle w:val="Heading2"/>
        <w:spacing w:before="300" w:after="160"/>
      </w:pPr>
      <w:r>
        <w:rPr>
          <w:rFonts w:ascii="Arial" w:eastAsia="Arial" w:hAnsi="Arial" w:cs="Arial"/>
          <w:b/>
          <w:bCs/>
          <w:color w:val="2A7D6B"/>
          <w:sz w:val="32"/>
          <w:szCs w:val="32"/>
        </w:rPr>
        <w:t>Overview</w:t>
      </w:r>
    </w:p>
    <w:p w14:paraId="10D6184B" w14:textId="77777777" w:rsidR="00A60164" w:rsidRDefault="00414275">
      <w:pPr>
        <w:spacing w:after="160" w:line="276" w:lineRule="auto"/>
      </w:pPr>
      <w:r>
        <w:rPr>
          <w:rFonts w:ascii="Arial" w:eastAsia="Arial" w:hAnsi="Arial" w:cs="Arial"/>
          <w:color w:val="111111"/>
          <w:sz w:val="22"/>
          <w:szCs w:val="22"/>
        </w:rPr>
        <w:t>The Answer Library contains 790 pre-written security questionnaire answers across 25 categories. Each answer is provided at three maturity tiers (Early Stage, Established, Mature) and is accompanied by evidence notes and red fl</w:t>
      </w:r>
      <w:r>
        <w:rPr>
          <w:rFonts w:ascii="Arial" w:eastAsia="Arial" w:hAnsi="Arial" w:cs="Arial"/>
          <w:color w:val="111111"/>
          <w:sz w:val="22"/>
          <w:szCs w:val="22"/>
        </w:rPr>
        <w:t>ag indicators. The library is the source data for the Import Questionnaire matching engine.</w:t>
      </w:r>
    </w:p>
    <w:p w14:paraId="006EA7FA" w14:textId="77777777" w:rsidR="00A60164" w:rsidRDefault="00414275">
      <w:pPr>
        <w:pStyle w:val="Heading2"/>
        <w:spacing w:before="300" w:after="160"/>
      </w:pPr>
      <w:r>
        <w:rPr>
          <w:rFonts w:ascii="Arial" w:eastAsia="Arial" w:hAnsi="Arial" w:cs="Arial"/>
          <w:b/>
          <w:bCs/>
          <w:color w:val="2A7D6B"/>
          <w:sz w:val="32"/>
          <w:szCs w:val="32"/>
        </w:rPr>
        <w:t>Browsing and Searching</w:t>
      </w:r>
    </w:p>
    <w:p w14:paraId="302ED42C" w14:textId="77777777" w:rsidR="00A60164" w:rsidRDefault="00414275">
      <w:pPr>
        <w:spacing w:after="160" w:line="276" w:lineRule="auto"/>
      </w:pPr>
      <w:r>
        <w:rPr>
          <w:rFonts w:ascii="Arial" w:eastAsia="Arial" w:hAnsi="Arial" w:cs="Arial"/>
          <w:color w:val="111111"/>
          <w:sz w:val="22"/>
          <w:szCs w:val="22"/>
        </w:rPr>
        <w:t>Use the search box at the top to find answers by keyword. Results update as you type with a brief debounce. Use the Category filter to narrow</w:t>
      </w:r>
      <w:r>
        <w:rPr>
          <w:rFonts w:ascii="Arial" w:eastAsia="Arial" w:hAnsi="Arial" w:cs="Arial"/>
          <w:color w:val="111111"/>
          <w:sz w:val="22"/>
          <w:szCs w:val="22"/>
        </w:rPr>
        <w:t xml:space="preserve"> results to a specific domain. By default, 25 answers are shown at a time; click Show More to load additional results.</w:t>
      </w:r>
    </w:p>
    <w:p w14:paraId="0F8E783A" w14:textId="77777777" w:rsidR="00A60164" w:rsidRDefault="00414275">
      <w:pPr>
        <w:spacing w:after="160" w:line="276" w:lineRule="auto"/>
      </w:pPr>
      <w:r>
        <w:rPr>
          <w:rFonts w:ascii="Arial" w:eastAsia="Arial" w:hAnsi="Arial" w:cs="Arial"/>
          <w:color w:val="111111"/>
          <w:sz w:val="22"/>
          <w:szCs w:val="22"/>
        </w:rPr>
        <w:t>Each answer card shows the question text. Click the card to expand it and see all three tier answers, evidence notes, red flag indicators</w:t>
      </w:r>
      <w:r>
        <w:rPr>
          <w:rFonts w:ascii="Arial" w:eastAsia="Arial" w:hAnsi="Arial" w:cs="Arial"/>
          <w:color w:val="111111"/>
          <w:sz w:val="22"/>
          <w:szCs w:val="22"/>
        </w:rPr>
        <w:t>, and framework tags.</w:t>
      </w:r>
    </w:p>
    <w:p w14:paraId="67A6F8AF" w14:textId="77777777" w:rsidR="00A60164" w:rsidRDefault="00414275">
      <w:pPr>
        <w:pStyle w:val="Heading2"/>
        <w:spacing w:before="300" w:after="160"/>
      </w:pPr>
      <w:r>
        <w:rPr>
          <w:rFonts w:ascii="Arial" w:eastAsia="Arial" w:hAnsi="Arial" w:cs="Arial"/>
          <w:b/>
          <w:bCs/>
          <w:color w:val="2A7D6B"/>
          <w:sz w:val="32"/>
          <w:szCs w:val="32"/>
        </w:rPr>
        <w:t>Maturity Tiers</w:t>
      </w:r>
    </w:p>
    <w:p w14:paraId="0B9F4F32" w14:textId="77777777" w:rsidR="00A60164" w:rsidRDefault="00414275">
      <w:pPr>
        <w:spacing w:after="160" w:line="276" w:lineRule="auto"/>
      </w:pPr>
      <w:r>
        <w:rPr>
          <w:rFonts w:ascii="Arial" w:eastAsia="Arial" w:hAnsi="Arial" w:cs="Arial"/>
          <w:color w:val="111111"/>
          <w:sz w:val="22"/>
          <w:szCs w:val="22"/>
        </w:rPr>
        <w:t>Each library entry has three answer variants corresponding to your organisation's current maturity level:</w:t>
      </w:r>
    </w:p>
    <w:p w14:paraId="79ADE576"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Early Stage — honest answers for organisations that are doing the basics. Avoids overclaiming controls that are n</w:t>
      </w:r>
      <w:r>
        <w:rPr>
          <w:rFonts w:ascii="Arial" w:eastAsia="Arial" w:hAnsi="Arial" w:cs="Arial"/>
          <w:color w:val="111111"/>
          <w:sz w:val="22"/>
          <w:szCs w:val="22"/>
        </w:rPr>
        <w:t>ot yet in place.</w:t>
      </w:r>
    </w:p>
    <w:p w14:paraId="1F48D7D4"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Established — answers for organisations with documented policies, regular processes, and the ability to evidence them.</w:t>
      </w:r>
    </w:p>
    <w:p w14:paraId="488CB283"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Mature — enterprise-grade answers for organisations with continuous monitoring, automated controls, and third-party atte</w:t>
      </w:r>
      <w:r>
        <w:rPr>
          <w:rFonts w:ascii="Arial" w:eastAsia="Arial" w:hAnsi="Arial" w:cs="Arial"/>
          <w:color w:val="111111"/>
          <w:sz w:val="22"/>
          <w:szCs w:val="22"/>
        </w:rPr>
        <w:t>station.</w:t>
      </w:r>
    </w:p>
    <w:p w14:paraId="58A924E7" w14:textId="77777777" w:rsidR="00A60164" w:rsidRDefault="00414275">
      <w:pPr>
        <w:spacing w:after="160" w:line="276" w:lineRule="auto"/>
        <w:ind w:left="720"/>
      </w:pPr>
      <w:r>
        <w:rPr>
          <w:rFonts w:ascii="Arial" w:eastAsia="Arial" w:hAnsi="Arial" w:cs="Arial"/>
          <w:i/>
          <w:iCs/>
          <w:color w:val="6B7280"/>
        </w:rPr>
        <w:t>Pick the tier that matches reality. Assessors can tell when a small company claims mature controls they clearly cannot have. An honest Early Stage answer is more credible than an aspirational Mature answer that falls apart under follow-up question</w:t>
      </w:r>
      <w:r>
        <w:rPr>
          <w:rFonts w:ascii="Arial" w:eastAsia="Arial" w:hAnsi="Arial" w:cs="Arial"/>
          <w:i/>
          <w:iCs/>
          <w:color w:val="6B7280"/>
        </w:rPr>
        <w:t>ing.</w:t>
      </w:r>
    </w:p>
    <w:p w14:paraId="6BF99F89" w14:textId="77777777" w:rsidR="00A60164" w:rsidRDefault="00414275">
      <w:pPr>
        <w:pStyle w:val="Heading2"/>
        <w:spacing w:before="300" w:after="160"/>
      </w:pPr>
      <w:r>
        <w:rPr>
          <w:rFonts w:ascii="Arial" w:eastAsia="Arial" w:hAnsi="Arial" w:cs="Arial"/>
          <w:b/>
          <w:bCs/>
          <w:color w:val="2A7D6B"/>
          <w:sz w:val="32"/>
          <w:szCs w:val="32"/>
        </w:rPr>
        <w:lastRenderedPageBreak/>
        <w:t>Framework Tags</w:t>
      </w:r>
    </w:p>
    <w:p w14:paraId="626A4101" w14:textId="77777777" w:rsidR="00A60164" w:rsidRDefault="00414275">
      <w:pPr>
        <w:spacing w:after="160" w:line="276" w:lineRule="auto"/>
      </w:pPr>
      <w:r>
        <w:rPr>
          <w:rFonts w:ascii="Arial" w:eastAsia="Arial" w:hAnsi="Arial" w:cs="Arial"/>
          <w:color w:val="111111"/>
          <w:sz w:val="22"/>
          <w:szCs w:val="22"/>
        </w:rPr>
        <w:t>Many answers include framework tags showing which compliance frameworks the answer is relevant to. These tags are informational — they help you choose the right answer for a questionnaire from a customer who has specified a particular f</w:t>
      </w:r>
      <w:r>
        <w:rPr>
          <w:rFonts w:ascii="Arial" w:eastAsia="Arial" w:hAnsi="Arial" w:cs="Arial"/>
          <w:color w:val="111111"/>
          <w:sz w:val="22"/>
          <w:szCs w:val="22"/>
        </w:rPr>
        <w:t>ramework.</w:t>
      </w:r>
    </w:p>
    <w:p w14:paraId="214CB57B" w14:textId="77777777" w:rsidR="00A60164" w:rsidRDefault="00414275">
      <w:pPr>
        <w:pStyle w:val="Heading2"/>
        <w:spacing w:before="300" w:after="160"/>
      </w:pPr>
      <w:r>
        <w:rPr>
          <w:rFonts w:ascii="Arial" w:eastAsia="Arial" w:hAnsi="Arial" w:cs="Arial"/>
          <w:b/>
          <w:bCs/>
          <w:color w:val="2A7D6B"/>
          <w:sz w:val="32"/>
          <w:szCs w:val="32"/>
        </w:rPr>
        <w:t>Copying Answers</w:t>
      </w:r>
    </w:p>
    <w:p w14:paraId="16DAFBAA" w14:textId="77777777" w:rsidR="00A60164" w:rsidRDefault="00414275">
      <w:pPr>
        <w:spacing w:after="160" w:line="276" w:lineRule="auto"/>
      </w:pPr>
      <w:r>
        <w:rPr>
          <w:rFonts w:ascii="Arial" w:eastAsia="Arial" w:hAnsi="Arial" w:cs="Arial"/>
          <w:color w:val="111111"/>
          <w:sz w:val="22"/>
          <w:szCs w:val="22"/>
        </w:rPr>
        <w:t>Click the Copy button on any expanded answer card to copy the text to your clipboard. A brief "Copied" confirmation appears. You can then paste the answer directly into your questionnaire file or another application.</w:t>
      </w:r>
    </w:p>
    <w:p w14:paraId="69F56346" w14:textId="77777777" w:rsidR="00A60164" w:rsidRDefault="00414275">
      <w:pPr>
        <w:pStyle w:val="Heading2"/>
        <w:spacing w:before="300" w:after="160"/>
      </w:pPr>
      <w:r>
        <w:rPr>
          <w:rFonts w:ascii="Arial" w:eastAsia="Arial" w:hAnsi="Arial" w:cs="Arial"/>
          <w:b/>
          <w:bCs/>
          <w:color w:val="2A7D6B"/>
          <w:sz w:val="32"/>
          <w:szCs w:val="32"/>
        </w:rPr>
        <w:t>Adding Custom</w:t>
      </w:r>
      <w:r>
        <w:rPr>
          <w:rFonts w:ascii="Arial" w:eastAsia="Arial" w:hAnsi="Arial" w:cs="Arial"/>
          <w:b/>
          <w:bCs/>
          <w:color w:val="2A7D6B"/>
          <w:sz w:val="32"/>
          <w:szCs w:val="32"/>
        </w:rPr>
        <w:t xml:space="preserve"> Answers</w:t>
      </w:r>
    </w:p>
    <w:p w14:paraId="05EE6F51" w14:textId="77777777" w:rsidR="00A60164" w:rsidRDefault="00414275">
      <w:pPr>
        <w:spacing w:after="160" w:line="276" w:lineRule="auto"/>
      </w:pPr>
      <w:r>
        <w:rPr>
          <w:rFonts w:ascii="Arial" w:eastAsia="Arial" w:hAnsi="Arial" w:cs="Arial"/>
          <w:color w:val="111111"/>
          <w:sz w:val="22"/>
          <w:szCs w:val="22"/>
        </w:rPr>
        <w:t>You can add your own answers to the library using the Add Answer button. Custom answers appear alongside built-in answers in both the library view and the import matching engine. For each custom answer, you provide:</w:t>
      </w:r>
    </w:p>
    <w:p w14:paraId="273125B5"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Question text — the question th</w:t>
      </w:r>
      <w:r>
        <w:rPr>
          <w:rFonts w:ascii="Arial" w:eastAsia="Arial" w:hAnsi="Arial" w:cs="Arial"/>
          <w:color w:val="111111"/>
          <w:sz w:val="22"/>
          <w:szCs w:val="22"/>
        </w:rPr>
        <w:t>is answer responds to.</w:t>
      </w:r>
    </w:p>
    <w:p w14:paraId="23805BD6"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Category — the category to file it under. You can use an existing category or create a new one.</w:t>
      </w:r>
    </w:p>
    <w:p w14:paraId="0E4FD45F"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Tier answers — at least one of Early, Established, or Mature answer text is required.</w:t>
      </w:r>
    </w:p>
    <w:p w14:paraId="2792F9C2"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Evidence notes — optional guidance on what evidence to provide alongside this answer.</w:t>
      </w:r>
    </w:p>
    <w:p w14:paraId="4C8458A0"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Red flag — optional note on what would make this answer problematic to use.</w:t>
      </w:r>
    </w:p>
    <w:p w14:paraId="0C48C11A"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Framewor</w:t>
      </w:r>
      <w:r>
        <w:rPr>
          <w:rFonts w:ascii="Arial" w:eastAsia="Arial" w:hAnsi="Arial" w:cs="Arial"/>
          <w:color w:val="111111"/>
          <w:sz w:val="22"/>
          <w:szCs w:val="22"/>
        </w:rPr>
        <w:t>k tags — optional comma-separated list of relevant frameworks.</w:t>
      </w:r>
    </w:p>
    <w:p w14:paraId="5E24C727" w14:textId="77777777" w:rsidR="00A60164" w:rsidRDefault="00414275">
      <w:pPr>
        <w:spacing w:after="160" w:line="276" w:lineRule="auto"/>
      </w:pPr>
      <w:r>
        <w:rPr>
          <w:rFonts w:ascii="Arial" w:eastAsia="Arial" w:hAnsi="Arial" w:cs="Arial"/>
          <w:color w:val="111111"/>
          <w:sz w:val="22"/>
          <w:szCs w:val="22"/>
        </w:rPr>
        <w:t>Custom answers are saved locally in the encrypted database and can be edited or deleted at any time. See Chapter 12 for more detail on managing your custom answer library.</w:t>
      </w:r>
    </w:p>
    <w:p w14:paraId="43F912A9" w14:textId="77777777" w:rsidR="00A60164" w:rsidRDefault="00414275">
      <w:pPr>
        <w:pStyle w:val="Heading2"/>
        <w:spacing w:before="300" w:after="160"/>
      </w:pPr>
      <w:r>
        <w:rPr>
          <w:rFonts w:ascii="Arial" w:eastAsia="Arial" w:hAnsi="Arial" w:cs="Arial"/>
          <w:b/>
          <w:bCs/>
          <w:color w:val="2A7D6B"/>
          <w:sz w:val="32"/>
          <w:szCs w:val="32"/>
        </w:rPr>
        <w:t>The 25 Categories</w:t>
      </w:r>
    </w:p>
    <w:p w14:paraId="454DC206" w14:textId="77777777" w:rsidR="00A60164" w:rsidRDefault="00414275">
      <w:pPr>
        <w:spacing w:after="160" w:line="276" w:lineRule="auto"/>
      </w:pPr>
      <w:r>
        <w:rPr>
          <w:rFonts w:ascii="Arial" w:eastAsia="Arial" w:hAnsi="Arial" w:cs="Arial"/>
          <w:color w:val="111111"/>
          <w:sz w:val="22"/>
          <w:szCs w:val="22"/>
        </w:rPr>
        <w:t>The built-in library covers these 25 domains:</w:t>
      </w:r>
    </w:p>
    <w:p w14:paraId="531937D8"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Security Program &amp; Governance</w:t>
      </w:r>
    </w:p>
    <w:p w14:paraId="0980473E"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Data Protection &amp; Encryption</w:t>
      </w:r>
    </w:p>
    <w:p w14:paraId="1939CCF9"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Access Control &amp; Authentication</w:t>
      </w:r>
    </w:p>
    <w:p w14:paraId="59792FD1"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Network &amp; Infrastructure Security</w:t>
      </w:r>
    </w:p>
    <w:p w14:paraId="192C4A15"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Incident Response</w:t>
      </w:r>
    </w:p>
    <w:p w14:paraId="5322C359"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Business Continuity &amp; Disaster Recovery</w:t>
      </w:r>
    </w:p>
    <w:p w14:paraId="77ACFE40"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Vendor &amp; Third-Party Manage</w:t>
      </w:r>
      <w:r>
        <w:rPr>
          <w:rFonts w:ascii="Arial" w:eastAsia="Arial" w:hAnsi="Arial" w:cs="Arial"/>
          <w:color w:val="111111"/>
          <w:sz w:val="22"/>
          <w:szCs w:val="22"/>
        </w:rPr>
        <w:t>ment</w:t>
      </w:r>
    </w:p>
    <w:p w14:paraId="42A2E40C"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People &amp; Security Awareness</w:t>
      </w:r>
    </w:p>
    <w:p w14:paraId="7E137181"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Physical Security &amp; Remote Work</w:t>
      </w:r>
    </w:p>
    <w:p w14:paraId="4AF65733"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Compliance &amp; Legal</w:t>
      </w:r>
    </w:p>
    <w:p w14:paraId="677C2ABF"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Application Security</w:t>
      </w:r>
    </w:p>
    <w:p w14:paraId="2180DED2"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lastRenderedPageBreak/>
        <w:t>Monitoring &amp; Logging</w:t>
      </w:r>
    </w:p>
    <w:p w14:paraId="67F0D44F"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Cloud Security</w:t>
      </w:r>
    </w:p>
    <w:p w14:paraId="1D0DD97B"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AI &amp; Machine Learning Governance</w:t>
      </w:r>
    </w:p>
    <w:p w14:paraId="375D040C"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Privacy &amp; Data Rights</w:t>
      </w:r>
    </w:p>
    <w:p w14:paraId="06711B53"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Software Development Lifecycle</w:t>
      </w:r>
    </w:p>
    <w:p w14:paraId="3C320643"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Mobile Device &amp; Endpoint Mana</w:t>
      </w:r>
      <w:r>
        <w:rPr>
          <w:rFonts w:ascii="Arial" w:eastAsia="Arial" w:hAnsi="Arial" w:cs="Arial"/>
          <w:color w:val="111111"/>
          <w:sz w:val="22"/>
          <w:szCs w:val="22"/>
        </w:rPr>
        <w:t>gement</w:t>
      </w:r>
    </w:p>
    <w:p w14:paraId="6626FA46"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IoT &amp; Operational Technology</w:t>
      </w:r>
    </w:p>
    <w:p w14:paraId="005C49A4"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Mergers &amp; Acquisitions Security</w:t>
      </w:r>
    </w:p>
    <w:p w14:paraId="6F81D5DE"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Supply Chain Security</w:t>
      </w:r>
    </w:p>
    <w:p w14:paraId="62F695D1"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Identity &amp; Privileged Access Management</w:t>
      </w:r>
    </w:p>
    <w:p w14:paraId="28DE5801"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Resilience &amp; Disaster Recovery Testing</w:t>
      </w:r>
    </w:p>
    <w:p w14:paraId="74E2F979"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Third-Party Risk &amp; Outsourcing</w:t>
      </w:r>
    </w:p>
    <w:p w14:paraId="4289925D"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Payment Security &amp; Financial Data</w:t>
      </w:r>
    </w:p>
    <w:p w14:paraId="2B74E7EF" w14:textId="74867C40" w:rsidR="00A60164" w:rsidRDefault="00414275" w:rsidP="001B2934">
      <w:pPr>
        <w:pStyle w:val="ListParagraph"/>
        <w:numPr>
          <w:ilvl w:val="0"/>
          <w:numId w:val="1"/>
        </w:numPr>
        <w:spacing w:after="80" w:line="276" w:lineRule="auto"/>
      </w:pPr>
      <w:r>
        <w:rPr>
          <w:rFonts w:ascii="Arial" w:eastAsia="Arial" w:hAnsi="Arial" w:cs="Arial"/>
          <w:color w:val="111111"/>
          <w:sz w:val="22"/>
          <w:szCs w:val="22"/>
        </w:rPr>
        <w:t>Security Architecture &amp; Configuration</w:t>
      </w:r>
    </w:p>
    <w:p w14:paraId="3EF29451" w14:textId="77777777" w:rsidR="00A60164" w:rsidRDefault="00414275">
      <w:pPr>
        <w:pStyle w:val="Heading1"/>
        <w:spacing w:before="400" w:after="200"/>
      </w:pPr>
      <w:r>
        <w:rPr>
          <w:rFonts w:ascii="Arial" w:eastAsia="Arial" w:hAnsi="Arial" w:cs="Arial"/>
          <w:b/>
          <w:bCs/>
          <w:color w:val="0F2B3D"/>
          <w:sz w:val="48"/>
          <w:szCs w:val="48"/>
        </w:rPr>
        <w:t>C</w:t>
      </w:r>
      <w:r>
        <w:rPr>
          <w:rFonts w:ascii="Arial" w:eastAsia="Arial" w:hAnsi="Arial" w:cs="Arial"/>
          <w:b/>
          <w:bCs/>
          <w:color w:val="0F2B3D"/>
          <w:sz w:val="48"/>
          <w:szCs w:val="48"/>
        </w:rPr>
        <w:t>hapter 7: Create Questionnaire</w:t>
      </w:r>
    </w:p>
    <w:p w14:paraId="7B30AEC1" w14:textId="77777777" w:rsidR="00A60164" w:rsidRDefault="00414275">
      <w:pPr>
        <w:pStyle w:val="Heading2"/>
        <w:spacing w:before="300" w:after="160"/>
      </w:pPr>
      <w:r>
        <w:rPr>
          <w:rFonts w:ascii="Arial" w:eastAsia="Arial" w:hAnsi="Arial" w:cs="Arial"/>
          <w:b/>
          <w:bCs/>
          <w:color w:val="2A7D6B"/>
          <w:sz w:val="32"/>
          <w:szCs w:val="32"/>
        </w:rPr>
        <w:t>Purpose</w:t>
      </w:r>
    </w:p>
    <w:p w14:paraId="15AD1F52" w14:textId="77777777" w:rsidR="00A60164" w:rsidRDefault="00414275">
      <w:pPr>
        <w:spacing w:after="160" w:line="276" w:lineRule="auto"/>
      </w:pPr>
      <w:r>
        <w:rPr>
          <w:rFonts w:ascii="Arial" w:eastAsia="Arial" w:hAnsi="Arial" w:cs="Arial"/>
          <w:color w:val="111111"/>
          <w:sz w:val="22"/>
          <w:szCs w:val="22"/>
        </w:rPr>
        <w:t>The Create Questionnaire page is a three-step wizard for building custom questionnaire templates. Use it when you need to send a security ques</w:t>
      </w:r>
      <w:r>
        <w:rPr>
          <w:rFonts w:ascii="Arial" w:eastAsia="Arial" w:hAnsi="Arial" w:cs="Arial"/>
          <w:color w:val="111111"/>
          <w:sz w:val="22"/>
          <w:szCs w:val="22"/>
        </w:rPr>
        <w:t>tionnaire to a vendor, prospect, or partner and want to select the specific questions most relevant to that relationship.</w:t>
      </w:r>
    </w:p>
    <w:p w14:paraId="2D975459" w14:textId="77777777" w:rsidR="00A60164" w:rsidRDefault="00414275">
      <w:pPr>
        <w:pStyle w:val="Heading2"/>
        <w:spacing w:before="300" w:after="160"/>
      </w:pPr>
      <w:r>
        <w:rPr>
          <w:rFonts w:ascii="Arial" w:eastAsia="Arial" w:hAnsi="Arial" w:cs="Arial"/>
          <w:b/>
          <w:bCs/>
          <w:color w:val="2A7D6B"/>
          <w:sz w:val="32"/>
          <w:szCs w:val="32"/>
        </w:rPr>
        <w:t>Selecting Questions</w:t>
      </w:r>
    </w:p>
    <w:p w14:paraId="218B9FB8" w14:textId="77777777" w:rsidR="00A60164" w:rsidRDefault="00414275">
      <w:pPr>
        <w:spacing w:after="160" w:line="276" w:lineRule="auto"/>
      </w:pPr>
      <w:r>
        <w:rPr>
          <w:rFonts w:ascii="Arial" w:eastAsia="Arial" w:hAnsi="Arial" w:cs="Arial"/>
          <w:color w:val="111111"/>
          <w:sz w:val="22"/>
          <w:szCs w:val="22"/>
        </w:rPr>
        <w:t>The first step presents the full Answer Library organised by category. Browse or search for questions and add indi</w:t>
      </w:r>
      <w:r>
        <w:rPr>
          <w:rFonts w:ascii="Arial" w:eastAsia="Arial" w:hAnsi="Arial" w:cs="Arial"/>
          <w:color w:val="111111"/>
          <w:sz w:val="22"/>
          <w:szCs w:val="22"/>
        </w:rPr>
        <w:t>vidual questions by clicking the Add button next to each one, or add all questions in a category using Add All. The selected question count updates in the wizard progress bar at the top.</w:t>
      </w:r>
    </w:p>
    <w:p w14:paraId="047B10F7" w14:textId="77777777" w:rsidR="00A60164" w:rsidRDefault="00414275">
      <w:pPr>
        <w:spacing w:after="160" w:line="276" w:lineRule="auto"/>
      </w:pPr>
      <w:r>
        <w:rPr>
          <w:rFonts w:ascii="Arial" w:eastAsia="Arial" w:hAnsi="Arial" w:cs="Arial"/>
          <w:color w:val="111111"/>
          <w:sz w:val="22"/>
          <w:szCs w:val="22"/>
        </w:rPr>
        <w:t>You can remove questions from your selection at any time before compl</w:t>
      </w:r>
      <w:r>
        <w:rPr>
          <w:rFonts w:ascii="Arial" w:eastAsia="Arial" w:hAnsi="Arial" w:cs="Arial"/>
          <w:color w:val="111111"/>
          <w:sz w:val="22"/>
          <w:szCs w:val="22"/>
        </w:rPr>
        <w:t>eting the wizard. The list of selected questions is shown in a sidebar panel on the right.</w:t>
      </w:r>
    </w:p>
    <w:p w14:paraId="00469346" w14:textId="77777777" w:rsidR="00A60164" w:rsidRDefault="00414275">
      <w:pPr>
        <w:pStyle w:val="Heading2"/>
        <w:spacing w:before="300" w:after="160"/>
      </w:pPr>
      <w:r>
        <w:rPr>
          <w:rFonts w:ascii="Arial" w:eastAsia="Arial" w:hAnsi="Arial" w:cs="Arial"/>
          <w:b/>
          <w:bCs/>
          <w:color w:val="2A7D6B"/>
          <w:sz w:val="32"/>
          <w:szCs w:val="32"/>
        </w:rPr>
        <w:t>Configuring the Questionnaire</w:t>
      </w:r>
    </w:p>
    <w:p w14:paraId="2E8C991B" w14:textId="77777777" w:rsidR="00A60164" w:rsidRDefault="00414275">
      <w:pPr>
        <w:spacing w:after="160" w:line="276" w:lineRule="auto"/>
      </w:pPr>
      <w:r>
        <w:rPr>
          <w:rFonts w:ascii="Arial" w:eastAsia="Arial" w:hAnsi="Arial" w:cs="Arial"/>
          <w:color w:val="111111"/>
          <w:sz w:val="22"/>
          <w:szCs w:val="22"/>
        </w:rPr>
        <w:t>The second step lets you set metadata for your questionnaire:</w:t>
      </w:r>
    </w:p>
    <w:p w14:paraId="62DA6EE2"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Template name — a descriptive name you will recognise later.</w:t>
      </w:r>
    </w:p>
    <w:p w14:paraId="70DCC6AA"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Recipient co</w:t>
      </w:r>
      <w:r>
        <w:rPr>
          <w:rFonts w:ascii="Arial" w:eastAsia="Arial" w:hAnsi="Arial" w:cs="Arial"/>
          <w:color w:val="111111"/>
          <w:sz w:val="22"/>
          <w:szCs w:val="22"/>
        </w:rPr>
        <w:t>mpany — optional, for logging purposes.</w:t>
      </w:r>
    </w:p>
    <w:p w14:paraId="60BE5D8B"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Instructions — text that will appear at the top of the exported file for the recipient.</w:t>
      </w:r>
    </w:p>
    <w:p w14:paraId="02178C05" w14:textId="77777777" w:rsidR="00A60164" w:rsidRDefault="00414275">
      <w:pPr>
        <w:spacing w:after="160" w:line="276" w:lineRule="auto"/>
      </w:pPr>
      <w:r>
        <w:rPr>
          <w:rFonts w:ascii="Arial" w:eastAsia="Arial" w:hAnsi="Arial" w:cs="Arial"/>
          <w:color w:val="111111"/>
          <w:sz w:val="22"/>
          <w:szCs w:val="22"/>
        </w:rPr>
        <w:t>You can also reorder questions in this step by dragging them in the list.</w:t>
      </w:r>
    </w:p>
    <w:p w14:paraId="5C634C38" w14:textId="77777777" w:rsidR="00A60164" w:rsidRDefault="00414275">
      <w:pPr>
        <w:pStyle w:val="Heading2"/>
        <w:spacing w:before="300" w:after="160"/>
      </w:pPr>
      <w:r>
        <w:rPr>
          <w:rFonts w:ascii="Arial" w:eastAsia="Arial" w:hAnsi="Arial" w:cs="Arial"/>
          <w:b/>
          <w:bCs/>
          <w:color w:val="2A7D6B"/>
          <w:sz w:val="32"/>
          <w:szCs w:val="32"/>
        </w:rPr>
        <w:t>Exporting</w:t>
      </w:r>
    </w:p>
    <w:p w14:paraId="28064F40" w14:textId="14D84DCF" w:rsidR="00A60164" w:rsidRDefault="00414275" w:rsidP="001B2934">
      <w:pPr>
        <w:spacing w:after="160" w:line="276" w:lineRule="auto"/>
      </w:pPr>
      <w:r>
        <w:rPr>
          <w:rFonts w:ascii="Arial" w:eastAsia="Arial" w:hAnsi="Arial" w:cs="Arial"/>
          <w:color w:val="111111"/>
          <w:sz w:val="22"/>
          <w:szCs w:val="22"/>
        </w:rPr>
        <w:lastRenderedPageBreak/>
        <w:t xml:space="preserve">The final step exports your questionnaire as an XLSX or CSV file. The exported file contains the question text in one column and a blank answer column for the recipient to </w:t>
      </w:r>
      <w:r>
        <w:rPr>
          <w:rFonts w:ascii="Arial" w:eastAsia="Arial" w:hAnsi="Arial" w:cs="Arial"/>
          <w:color w:val="111111"/>
          <w:sz w:val="22"/>
          <w:szCs w:val="22"/>
        </w:rPr>
        <w:t>fill in. You can save the template for reuse; saved templates appear in the Template selector when starting a new questionnaire.</w:t>
      </w:r>
    </w:p>
    <w:p w14:paraId="151B000D" w14:textId="77777777" w:rsidR="00A60164" w:rsidRDefault="00414275">
      <w:pPr>
        <w:pStyle w:val="Heading1"/>
        <w:spacing w:before="400" w:after="200"/>
      </w:pPr>
      <w:r>
        <w:rPr>
          <w:rFonts w:ascii="Arial" w:eastAsia="Arial" w:hAnsi="Arial" w:cs="Arial"/>
          <w:b/>
          <w:bCs/>
          <w:color w:val="0F2B3D"/>
          <w:sz w:val="48"/>
          <w:szCs w:val="48"/>
        </w:rPr>
        <w:t>Chapter 8: Vendor Register</w:t>
      </w:r>
    </w:p>
    <w:p w14:paraId="47DDB63C" w14:textId="77777777" w:rsidR="00A60164" w:rsidRDefault="00414275">
      <w:pPr>
        <w:pStyle w:val="Heading2"/>
        <w:spacing w:before="300" w:after="160"/>
      </w:pPr>
      <w:r>
        <w:rPr>
          <w:rFonts w:ascii="Arial" w:eastAsia="Arial" w:hAnsi="Arial" w:cs="Arial"/>
          <w:b/>
          <w:bCs/>
          <w:color w:val="2A7D6B"/>
          <w:sz w:val="32"/>
          <w:szCs w:val="32"/>
        </w:rPr>
        <w:t>Overview</w:t>
      </w:r>
    </w:p>
    <w:p w14:paraId="1FA4E887" w14:textId="77777777" w:rsidR="00A60164" w:rsidRDefault="00414275">
      <w:pPr>
        <w:spacing w:after="160" w:line="276" w:lineRule="auto"/>
      </w:pPr>
      <w:r>
        <w:rPr>
          <w:rFonts w:ascii="Arial" w:eastAsia="Arial" w:hAnsi="Arial" w:cs="Arial"/>
          <w:color w:val="111111"/>
          <w:sz w:val="22"/>
          <w:szCs w:val="22"/>
        </w:rPr>
        <w:t>The Vendor Register is a centralised database of your third-party suppliers, vendors, and</w:t>
      </w:r>
      <w:r>
        <w:rPr>
          <w:rFonts w:ascii="Arial" w:eastAsia="Arial" w:hAnsi="Arial" w:cs="Arial"/>
          <w:color w:val="111111"/>
          <w:sz w:val="22"/>
          <w:szCs w:val="22"/>
        </w:rPr>
        <w:t xml:space="preserve"> service providers. It lets you track each vendor's risk tier, assessment status, contract dates, risk events, and certifications in one place. The register integrates with the vendor assessment and response analysis tools accessible from within each vendo</w:t>
      </w:r>
      <w:r>
        <w:rPr>
          <w:rFonts w:ascii="Arial" w:eastAsia="Arial" w:hAnsi="Arial" w:cs="Arial"/>
          <w:color w:val="111111"/>
          <w:sz w:val="22"/>
          <w:szCs w:val="22"/>
        </w:rPr>
        <w:t>r record.</w:t>
      </w:r>
    </w:p>
    <w:p w14:paraId="14793686" w14:textId="77777777" w:rsidR="00A60164" w:rsidRDefault="00414275">
      <w:pPr>
        <w:pStyle w:val="Heading2"/>
        <w:spacing w:before="300" w:after="160"/>
      </w:pPr>
      <w:r>
        <w:rPr>
          <w:rFonts w:ascii="Arial" w:eastAsia="Arial" w:hAnsi="Arial" w:cs="Arial"/>
          <w:b/>
          <w:bCs/>
          <w:color w:val="2A7D6B"/>
          <w:sz w:val="32"/>
          <w:szCs w:val="32"/>
        </w:rPr>
        <w:t>Dashboard</w:t>
      </w:r>
    </w:p>
    <w:p w14:paraId="092D5DFE" w14:textId="77777777" w:rsidR="00A60164" w:rsidRDefault="00414275">
      <w:pPr>
        <w:spacing w:after="160" w:line="276" w:lineRule="auto"/>
      </w:pPr>
      <w:r>
        <w:rPr>
          <w:rFonts w:ascii="Arial" w:eastAsia="Arial" w:hAnsi="Arial" w:cs="Arial"/>
          <w:color w:val="111111"/>
          <w:sz w:val="22"/>
          <w:szCs w:val="22"/>
        </w:rPr>
        <w:t>The Overview tab displays a dashboard of key vendor metrics: total vendors, number flagged as high or critical risk, assessments completed, and upcoming review dates. These statistics feed into the Dashboard KPI cards and Needs Attentio</w:t>
      </w:r>
      <w:r>
        <w:rPr>
          <w:rFonts w:ascii="Arial" w:eastAsia="Arial" w:hAnsi="Arial" w:cs="Arial"/>
          <w:color w:val="111111"/>
          <w:sz w:val="22"/>
          <w:szCs w:val="22"/>
        </w:rPr>
        <w:t>n alerts on the home page.</w:t>
      </w:r>
    </w:p>
    <w:p w14:paraId="2C7B8C4D" w14:textId="77777777" w:rsidR="00A60164" w:rsidRDefault="00414275">
      <w:pPr>
        <w:pStyle w:val="Heading2"/>
        <w:spacing w:before="300" w:after="160"/>
      </w:pPr>
      <w:r>
        <w:rPr>
          <w:rFonts w:ascii="Arial" w:eastAsia="Arial" w:hAnsi="Arial" w:cs="Arial"/>
          <w:b/>
          <w:bCs/>
          <w:color w:val="2A7D6B"/>
          <w:sz w:val="32"/>
          <w:szCs w:val="32"/>
        </w:rPr>
        <w:t>Adding a Vendor</w:t>
      </w:r>
    </w:p>
    <w:p w14:paraId="1AC23433" w14:textId="77777777" w:rsidR="00A60164" w:rsidRDefault="00414275">
      <w:pPr>
        <w:spacing w:after="160" w:line="276" w:lineRule="auto"/>
      </w:pPr>
      <w:r>
        <w:rPr>
          <w:rFonts w:ascii="Arial" w:eastAsia="Arial" w:hAnsi="Arial" w:cs="Arial"/>
          <w:color w:val="111111"/>
          <w:sz w:val="22"/>
          <w:szCs w:val="22"/>
        </w:rPr>
        <w:t>Click Add Vendor to open the vendor form. Required fields are:</w:t>
      </w:r>
    </w:p>
    <w:p w14:paraId="27595448"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Name — the vendor's company name.</w:t>
      </w:r>
    </w:p>
    <w:p w14:paraId="29031A23"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Category — the type of service they provide (e.g. Cloud Services, Software, Professional Services).</w:t>
      </w:r>
    </w:p>
    <w:p w14:paraId="770E6B3B"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Risk Tier — Critical, High, Medium, or Low. See Risk Tiers below for guidance.</w:t>
      </w:r>
    </w:p>
    <w:p w14:paraId="7F34B150"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Status — Active, Under Review, Offboarding, or Inactive.</w:t>
      </w:r>
    </w:p>
    <w:p w14:paraId="23834612" w14:textId="77777777" w:rsidR="00A60164" w:rsidRDefault="00414275">
      <w:pPr>
        <w:spacing w:after="160" w:line="276" w:lineRule="auto"/>
      </w:pPr>
      <w:r>
        <w:rPr>
          <w:rFonts w:ascii="Arial" w:eastAsia="Arial" w:hAnsi="Arial" w:cs="Arial"/>
          <w:color w:val="111111"/>
          <w:sz w:val="22"/>
          <w:szCs w:val="22"/>
        </w:rPr>
        <w:t>Optional fields incl</w:t>
      </w:r>
      <w:r>
        <w:rPr>
          <w:rFonts w:ascii="Arial" w:eastAsia="Arial" w:hAnsi="Arial" w:cs="Arial"/>
          <w:color w:val="111111"/>
          <w:sz w:val="22"/>
          <w:szCs w:val="22"/>
        </w:rPr>
        <w:t>ude contact details, website, contract start and end dates, review date, certifications held, data types shared, access level, exit strategy, and notes.</w:t>
      </w:r>
    </w:p>
    <w:p w14:paraId="7E23EBB0" w14:textId="77777777" w:rsidR="00A60164" w:rsidRDefault="00414275">
      <w:pPr>
        <w:pStyle w:val="Heading2"/>
        <w:spacing w:before="300" w:after="160"/>
      </w:pPr>
      <w:r>
        <w:rPr>
          <w:rFonts w:ascii="Arial" w:eastAsia="Arial" w:hAnsi="Arial" w:cs="Arial"/>
          <w:b/>
          <w:bCs/>
          <w:color w:val="2A7D6B"/>
          <w:sz w:val="32"/>
          <w:szCs w:val="32"/>
        </w:rPr>
        <w:t>Vendor Detail</w:t>
      </w:r>
    </w:p>
    <w:p w14:paraId="4315C642" w14:textId="77777777" w:rsidR="00A60164" w:rsidRDefault="00414275">
      <w:pPr>
        <w:spacing w:after="160" w:line="276" w:lineRule="auto"/>
      </w:pPr>
      <w:r>
        <w:rPr>
          <w:rFonts w:ascii="Arial" w:eastAsia="Arial" w:hAnsi="Arial" w:cs="Arial"/>
          <w:color w:val="111111"/>
          <w:sz w:val="22"/>
          <w:szCs w:val="22"/>
        </w:rPr>
        <w:t xml:space="preserve">Click any vendor in the list to open their detail view. From here you can see all vendor </w:t>
      </w:r>
      <w:r>
        <w:rPr>
          <w:rFonts w:ascii="Arial" w:eastAsia="Arial" w:hAnsi="Arial" w:cs="Arial"/>
          <w:color w:val="111111"/>
          <w:sz w:val="22"/>
          <w:szCs w:val="22"/>
        </w:rPr>
        <w:t>information, linked assessments, risk events, and an AI-generated risk summary (Professional). Navigation buttons within the detail view take you to the Assessments page (to run a formal template-based assessment) or the Analyse Responses page (to upload a</w:t>
      </w:r>
      <w:r>
        <w:rPr>
          <w:rFonts w:ascii="Arial" w:eastAsia="Arial" w:hAnsi="Arial" w:cs="Arial"/>
          <w:color w:val="111111"/>
          <w:sz w:val="22"/>
          <w:szCs w:val="22"/>
        </w:rPr>
        <w:t>nd score a completed questionnaire returned by the vendor).</w:t>
      </w:r>
    </w:p>
    <w:p w14:paraId="3563AD9D" w14:textId="77777777" w:rsidR="00A60164" w:rsidRDefault="00414275">
      <w:pPr>
        <w:pStyle w:val="Heading2"/>
        <w:spacing w:before="300" w:after="160"/>
      </w:pPr>
      <w:r>
        <w:rPr>
          <w:rFonts w:ascii="Arial" w:eastAsia="Arial" w:hAnsi="Arial" w:cs="Arial"/>
          <w:b/>
          <w:bCs/>
          <w:color w:val="2A7D6B"/>
          <w:sz w:val="32"/>
          <w:szCs w:val="32"/>
        </w:rPr>
        <w:t>Risk Tiers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32"/>
        <w:gridCol w:w="665"/>
        <w:gridCol w:w="7619"/>
      </w:tblGrid>
      <w:tr w:rsidR="00A60164" w14:paraId="6A88DC2E" w14:textId="77777777">
        <w:tblPrEx>
          <w:tblCellMar>
            <w:top w:w="0" w:type="dxa"/>
            <w:bottom w:w="0" w:type="dxa"/>
          </w:tblCellMar>
        </w:tblPrEx>
        <w:trPr>
          <w:tblHeader/>
        </w:trPr>
        <w:tc>
          <w:tcPr>
            <w:tcW w:w="0" w:type="auto"/>
            <w:shd w:val="clear" w:color="auto" w:fill="2A7D6B"/>
          </w:tcPr>
          <w:p w14:paraId="4C083F7E" w14:textId="77777777" w:rsidR="00A60164" w:rsidRDefault="00414275">
            <w:r>
              <w:rPr>
                <w:rFonts w:ascii="Arial" w:eastAsia="Arial" w:hAnsi="Arial" w:cs="Arial"/>
                <w:b/>
                <w:bCs/>
                <w:color w:val="FFFFFF"/>
              </w:rPr>
              <w:t>Tier</w:t>
            </w:r>
          </w:p>
        </w:tc>
        <w:tc>
          <w:tcPr>
            <w:tcW w:w="0" w:type="auto"/>
            <w:shd w:val="clear" w:color="auto" w:fill="2A7D6B"/>
          </w:tcPr>
          <w:p w14:paraId="7378AE58" w14:textId="77777777" w:rsidR="00A60164" w:rsidRDefault="00414275">
            <w:r>
              <w:rPr>
                <w:rFonts w:ascii="Arial" w:eastAsia="Arial" w:hAnsi="Arial" w:cs="Arial"/>
                <w:b/>
                <w:bCs/>
                <w:color w:val="FFFFFF"/>
              </w:rPr>
              <w:t>Colour</w:t>
            </w:r>
          </w:p>
        </w:tc>
        <w:tc>
          <w:tcPr>
            <w:tcW w:w="0" w:type="auto"/>
            <w:shd w:val="clear" w:color="auto" w:fill="2A7D6B"/>
          </w:tcPr>
          <w:p w14:paraId="77C5638C" w14:textId="77777777" w:rsidR="00A60164" w:rsidRDefault="00414275">
            <w:r>
              <w:rPr>
                <w:rFonts w:ascii="Arial" w:eastAsia="Arial" w:hAnsi="Arial" w:cs="Arial"/>
                <w:b/>
                <w:bCs/>
                <w:color w:val="FFFFFF"/>
              </w:rPr>
              <w:t>Typical Use</w:t>
            </w:r>
          </w:p>
        </w:tc>
      </w:tr>
      <w:tr w:rsidR="00A60164" w14:paraId="715D0637" w14:textId="77777777">
        <w:tblPrEx>
          <w:tblCellMar>
            <w:top w:w="0" w:type="dxa"/>
            <w:bottom w:w="0" w:type="dxa"/>
          </w:tblCellMar>
        </w:tblPrEx>
        <w:tc>
          <w:tcPr>
            <w:tcW w:w="0" w:type="auto"/>
          </w:tcPr>
          <w:p w14:paraId="1F73C753" w14:textId="77777777" w:rsidR="00A60164" w:rsidRDefault="00414275">
            <w:r>
              <w:rPr>
                <w:rFonts w:ascii="Arial" w:eastAsia="Arial" w:hAnsi="Arial" w:cs="Arial"/>
                <w:color w:val="111111"/>
              </w:rPr>
              <w:t>Critical</w:t>
            </w:r>
          </w:p>
        </w:tc>
        <w:tc>
          <w:tcPr>
            <w:tcW w:w="0" w:type="auto"/>
          </w:tcPr>
          <w:p w14:paraId="37B2833C" w14:textId="77777777" w:rsidR="00A60164" w:rsidRDefault="00414275">
            <w:r>
              <w:rPr>
                <w:rFonts w:ascii="Arial" w:eastAsia="Arial" w:hAnsi="Arial" w:cs="Arial"/>
                <w:color w:val="111111"/>
              </w:rPr>
              <w:t>Red</w:t>
            </w:r>
          </w:p>
        </w:tc>
        <w:tc>
          <w:tcPr>
            <w:tcW w:w="0" w:type="auto"/>
          </w:tcPr>
          <w:p w14:paraId="56616498" w14:textId="77777777" w:rsidR="00A60164" w:rsidRDefault="00414275">
            <w:r>
              <w:rPr>
                <w:rFonts w:ascii="Arial" w:eastAsia="Arial" w:hAnsi="Arial" w:cs="Arial"/>
                <w:color w:val="111111"/>
              </w:rPr>
              <w:t>Vendors with access to core systems, sensitive data, or who would cause immediate service disruption if unavailable</w:t>
            </w:r>
          </w:p>
        </w:tc>
      </w:tr>
      <w:tr w:rsidR="00A60164" w14:paraId="01587A57" w14:textId="77777777">
        <w:tblPrEx>
          <w:tblCellMar>
            <w:top w:w="0" w:type="dxa"/>
            <w:bottom w:w="0" w:type="dxa"/>
          </w:tblCellMar>
        </w:tblPrEx>
        <w:tc>
          <w:tcPr>
            <w:tcW w:w="0" w:type="auto"/>
            <w:shd w:val="clear" w:color="auto" w:fill="F9FAFB"/>
          </w:tcPr>
          <w:p w14:paraId="18C45482" w14:textId="77777777" w:rsidR="00A60164" w:rsidRDefault="00414275">
            <w:r>
              <w:rPr>
                <w:rFonts w:ascii="Arial" w:eastAsia="Arial" w:hAnsi="Arial" w:cs="Arial"/>
                <w:color w:val="111111"/>
              </w:rPr>
              <w:t>High</w:t>
            </w:r>
          </w:p>
        </w:tc>
        <w:tc>
          <w:tcPr>
            <w:tcW w:w="0" w:type="auto"/>
            <w:shd w:val="clear" w:color="auto" w:fill="F9FAFB"/>
          </w:tcPr>
          <w:p w14:paraId="3EEAC1B0" w14:textId="77777777" w:rsidR="00A60164" w:rsidRDefault="00414275">
            <w:r>
              <w:rPr>
                <w:rFonts w:ascii="Arial" w:eastAsia="Arial" w:hAnsi="Arial" w:cs="Arial"/>
                <w:color w:val="111111"/>
              </w:rPr>
              <w:t>Amber</w:t>
            </w:r>
          </w:p>
        </w:tc>
        <w:tc>
          <w:tcPr>
            <w:tcW w:w="0" w:type="auto"/>
            <w:shd w:val="clear" w:color="auto" w:fill="F9FAFB"/>
          </w:tcPr>
          <w:p w14:paraId="4F155B32" w14:textId="77777777" w:rsidR="00A60164" w:rsidRDefault="00414275">
            <w:r>
              <w:rPr>
                <w:rFonts w:ascii="Arial" w:eastAsia="Arial" w:hAnsi="Arial" w:cs="Arial"/>
                <w:color w:val="111111"/>
              </w:rPr>
              <w:t>Vendors processing or storing your data, or providing significant operational services</w:t>
            </w:r>
          </w:p>
        </w:tc>
      </w:tr>
      <w:tr w:rsidR="00A60164" w14:paraId="7362A6ED" w14:textId="77777777">
        <w:tblPrEx>
          <w:tblCellMar>
            <w:top w:w="0" w:type="dxa"/>
            <w:bottom w:w="0" w:type="dxa"/>
          </w:tblCellMar>
        </w:tblPrEx>
        <w:tc>
          <w:tcPr>
            <w:tcW w:w="0" w:type="auto"/>
          </w:tcPr>
          <w:p w14:paraId="3A5A01AB" w14:textId="77777777" w:rsidR="00A60164" w:rsidRDefault="00414275">
            <w:r>
              <w:rPr>
                <w:rFonts w:ascii="Arial" w:eastAsia="Arial" w:hAnsi="Arial" w:cs="Arial"/>
                <w:color w:val="111111"/>
              </w:rPr>
              <w:t>Medium</w:t>
            </w:r>
          </w:p>
        </w:tc>
        <w:tc>
          <w:tcPr>
            <w:tcW w:w="0" w:type="auto"/>
          </w:tcPr>
          <w:p w14:paraId="29FEE174" w14:textId="77777777" w:rsidR="00A60164" w:rsidRDefault="00414275">
            <w:r>
              <w:rPr>
                <w:rFonts w:ascii="Arial" w:eastAsia="Arial" w:hAnsi="Arial" w:cs="Arial"/>
                <w:color w:val="111111"/>
              </w:rPr>
              <w:t>Yellow</w:t>
            </w:r>
          </w:p>
        </w:tc>
        <w:tc>
          <w:tcPr>
            <w:tcW w:w="0" w:type="auto"/>
          </w:tcPr>
          <w:p w14:paraId="321BE666" w14:textId="77777777" w:rsidR="00A60164" w:rsidRDefault="00414275">
            <w:r>
              <w:rPr>
                <w:rFonts w:ascii="Arial" w:eastAsia="Arial" w:hAnsi="Arial" w:cs="Arial"/>
                <w:color w:val="111111"/>
              </w:rPr>
              <w:t xml:space="preserve">Vendors with limited data </w:t>
            </w:r>
            <w:r>
              <w:rPr>
                <w:rFonts w:ascii="Arial" w:eastAsia="Arial" w:hAnsi="Arial" w:cs="Arial"/>
                <w:color w:val="111111"/>
              </w:rPr>
              <w:t>access or indirect operational impact</w:t>
            </w:r>
          </w:p>
        </w:tc>
      </w:tr>
      <w:tr w:rsidR="00A60164" w14:paraId="0CE96279" w14:textId="77777777">
        <w:tblPrEx>
          <w:tblCellMar>
            <w:top w:w="0" w:type="dxa"/>
            <w:bottom w:w="0" w:type="dxa"/>
          </w:tblCellMar>
        </w:tblPrEx>
        <w:tc>
          <w:tcPr>
            <w:tcW w:w="0" w:type="auto"/>
            <w:shd w:val="clear" w:color="auto" w:fill="F9FAFB"/>
          </w:tcPr>
          <w:p w14:paraId="2AAAC411" w14:textId="77777777" w:rsidR="00A60164" w:rsidRDefault="00414275">
            <w:r>
              <w:rPr>
                <w:rFonts w:ascii="Arial" w:eastAsia="Arial" w:hAnsi="Arial" w:cs="Arial"/>
                <w:color w:val="111111"/>
              </w:rPr>
              <w:lastRenderedPageBreak/>
              <w:t>Low</w:t>
            </w:r>
          </w:p>
        </w:tc>
        <w:tc>
          <w:tcPr>
            <w:tcW w:w="0" w:type="auto"/>
            <w:shd w:val="clear" w:color="auto" w:fill="F9FAFB"/>
          </w:tcPr>
          <w:p w14:paraId="74307E4A" w14:textId="77777777" w:rsidR="00A60164" w:rsidRDefault="00414275">
            <w:r>
              <w:rPr>
                <w:rFonts w:ascii="Arial" w:eastAsia="Arial" w:hAnsi="Arial" w:cs="Arial"/>
                <w:color w:val="111111"/>
              </w:rPr>
              <w:t>Green</w:t>
            </w:r>
          </w:p>
        </w:tc>
        <w:tc>
          <w:tcPr>
            <w:tcW w:w="0" w:type="auto"/>
            <w:shd w:val="clear" w:color="auto" w:fill="F9FAFB"/>
          </w:tcPr>
          <w:p w14:paraId="0369CCFB" w14:textId="77777777" w:rsidR="00A60164" w:rsidRDefault="00414275">
            <w:r>
              <w:rPr>
                <w:rFonts w:ascii="Arial" w:eastAsia="Arial" w:hAnsi="Arial" w:cs="Arial"/>
                <w:color w:val="111111"/>
              </w:rPr>
              <w:t>Vendors with no data access and minimal operational dependency</w:t>
            </w:r>
          </w:p>
        </w:tc>
      </w:tr>
    </w:tbl>
    <w:p w14:paraId="707372A7" w14:textId="77777777" w:rsidR="00A60164" w:rsidRDefault="00414275">
      <w:pPr>
        <w:pStyle w:val="Heading2"/>
        <w:spacing w:before="300" w:after="160"/>
      </w:pPr>
      <w:r>
        <w:rPr>
          <w:rFonts w:ascii="Arial" w:eastAsia="Arial" w:hAnsi="Arial" w:cs="Arial"/>
          <w:b/>
          <w:bCs/>
          <w:color w:val="2A7D6B"/>
          <w:sz w:val="32"/>
          <w:szCs w:val="32"/>
        </w:rPr>
        <w:t>Vendor Statuses</w:t>
      </w:r>
    </w:p>
    <w:p w14:paraId="18026170"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Active — currently engaged and in scope for monitoring.</w:t>
      </w:r>
    </w:p>
    <w:p w14:paraId="2E60C767"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Under Review — being assessed before onboarding or during a periodic review cycle.</w:t>
      </w:r>
    </w:p>
    <w:p w14:paraId="51CE795B"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Offboarding — the relationship is being terminated; data and access removal in progress.</w:t>
      </w:r>
    </w:p>
    <w:p w14:paraId="79128813"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Inactive — relationship has ended; retained for historical reference.</w:t>
      </w:r>
    </w:p>
    <w:p w14:paraId="56FB2FF2" w14:textId="77777777" w:rsidR="00A60164" w:rsidRDefault="00414275">
      <w:pPr>
        <w:pStyle w:val="Heading2"/>
        <w:spacing w:before="300" w:after="160"/>
      </w:pPr>
      <w:r>
        <w:rPr>
          <w:rFonts w:ascii="Arial" w:eastAsia="Arial" w:hAnsi="Arial" w:cs="Arial"/>
          <w:b/>
          <w:bCs/>
          <w:color w:val="2A7D6B"/>
          <w:sz w:val="32"/>
          <w:szCs w:val="32"/>
        </w:rPr>
        <w:t>Vendor Assessments (Professional)</w:t>
      </w:r>
    </w:p>
    <w:p w14:paraId="7D6B383E" w14:textId="77777777" w:rsidR="00A60164" w:rsidRDefault="00414275">
      <w:pPr>
        <w:spacing w:after="160" w:line="276" w:lineRule="auto"/>
      </w:pPr>
      <w:r>
        <w:rPr>
          <w:rFonts w:ascii="Arial" w:eastAsia="Arial" w:hAnsi="Arial" w:cs="Arial"/>
          <w:color w:val="111111"/>
          <w:sz w:val="22"/>
          <w:szCs w:val="22"/>
        </w:rPr>
        <w:t>From a vendor's detail view, click Run Assessment to open the A</w:t>
      </w:r>
      <w:r>
        <w:rPr>
          <w:rFonts w:ascii="Arial" w:eastAsia="Arial" w:hAnsi="Arial" w:cs="Arial"/>
          <w:color w:val="111111"/>
          <w:sz w:val="22"/>
          <w:szCs w:val="22"/>
        </w:rPr>
        <w:t>ssessments page with 22 built-in assessment templates covering 505 questions across different vendor categories. Select the template that best fits the vendor type, score each question on a 1–3 scale (1 = not implemented, 2 = partially implemented, 3 = ful</w:t>
      </w:r>
      <w:r>
        <w:rPr>
          <w:rFonts w:ascii="Arial" w:eastAsia="Arial" w:hAnsi="Arial" w:cs="Arial"/>
          <w:color w:val="111111"/>
          <w:sz w:val="22"/>
          <w:szCs w:val="22"/>
        </w:rPr>
        <w:t>ly implemented), add notes, and export the results to CSV.</w:t>
      </w:r>
    </w:p>
    <w:p w14:paraId="1559A0DB" w14:textId="77777777" w:rsidR="00A60164" w:rsidRDefault="00414275">
      <w:pPr>
        <w:spacing w:after="160" w:line="276" w:lineRule="auto"/>
      </w:pPr>
      <w:r>
        <w:rPr>
          <w:rFonts w:ascii="Arial" w:eastAsia="Arial" w:hAnsi="Arial" w:cs="Arial"/>
          <w:color w:val="111111"/>
          <w:sz w:val="22"/>
          <w:szCs w:val="22"/>
        </w:rPr>
        <w:t>Completed assessments are linked to the vendor record and show the overall score and risk rating. Over time, linked assessments build a history of that vendor's security posture.</w:t>
      </w:r>
    </w:p>
    <w:p w14:paraId="2A7CAEA0" w14:textId="77777777" w:rsidR="00A60164" w:rsidRDefault="00414275">
      <w:pPr>
        <w:pStyle w:val="Heading2"/>
        <w:spacing w:before="300" w:after="160"/>
      </w:pPr>
      <w:r>
        <w:rPr>
          <w:rFonts w:ascii="Arial" w:eastAsia="Arial" w:hAnsi="Arial" w:cs="Arial"/>
          <w:b/>
          <w:bCs/>
          <w:color w:val="2A7D6B"/>
          <w:sz w:val="32"/>
          <w:szCs w:val="32"/>
        </w:rPr>
        <w:t>Analysing Vendor R</w:t>
      </w:r>
      <w:r>
        <w:rPr>
          <w:rFonts w:ascii="Arial" w:eastAsia="Arial" w:hAnsi="Arial" w:cs="Arial"/>
          <w:b/>
          <w:bCs/>
          <w:color w:val="2A7D6B"/>
          <w:sz w:val="32"/>
          <w:szCs w:val="32"/>
        </w:rPr>
        <w:t>esponses (Professional)</w:t>
      </w:r>
    </w:p>
    <w:p w14:paraId="0C440B64" w14:textId="77777777" w:rsidR="00A60164" w:rsidRDefault="00414275">
      <w:pPr>
        <w:spacing w:after="160" w:line="276" w:lineRule="auto"/>
      </w:pPr>
      <w:r>
        <w:rPr>
          <w:rFonts w:ascii="Arial" w:eastAsia="Arial" w:hAnsi="Arial" w:cs="Arial"/>
          <w:color w:val="111111"/>
          <w:sz w:val="22"/>
          <w:szCs w:val="22"/>
        </w:rPr>
        <w:t>When a vendor returns a completed questionnaire, use Analyse Responses to score it. Upload their file, map the question and answer columns, and let Ridgeguard score every response using keyword matching against expected security con</w:t>
      </w:r>
      <w:r>
        <w:rPr>
          <w:rFonts w:ascii="Arial" w:eastAsia="Arial" w:hAnsi="Arial" w:cs="Arial"/>
          <w:color w:val="111111"/>
          <w:sz w:val="22"/>
          <w:szCs w:val="22"/>
        </w:rPr>
        <w:t>trol terminology.</w:t>
      </w:r>
    </w:p>
    <w:p w14:paraId="2975B7F2" w14:textId="77777777" w:rsidR="00A60164" w:rsidRDefault="00414275">
      <w:pPr>
        <w:spacing w:after="160" w:line="276" w:lineRule="auto"/>
      </w:pPr>
      <w:r>
        <w:rPr>
          <w:rFonts w:ascii="Arial" w:eastAsia="Arial" w:hAnsi="Arial" w:cs="Arial"/>
          <w:color w:val="111111"/>
          <w:sz w:val="22"/>
          <w:szCs w:val="22"/>
        </w:rPr>
        <w:t>The analysis produces a risk rating, a list of red flag responses, and a confidence score for each answer. You can then use the AI deep analysis feature to generate a narrative risk summary.</w:t>
      </w:r>
    </w:p>
    <w:p w14:paraId="241E96BB" w14:textId="77777777" w:rsidR="00A60164" w:rsidRDefault="00414275">
      <w:pPr>
        <w:pStyle w:val="Heading2"/>
        <w:spacing w:before="300" w:after="160"/>
      </w:pPr>
      <w:r>
        <w:rPr>
          <w:rFonts w:ascii="Arial" w:eastAsia="Arial" w:hAnsi="Arial" w:cs="Arial"/>
          <w:b/>
          <w:bCs/>
          <w:color w:val="2A7D6B"/>
          <w:sz w:val="32"/>
          <w:szCs w:val="32"/>
        </w:rPr>
        <w:t>AI Vendor Risk Summary (Professional)</w:t>
      </w:r>
    </w:p>
    <w:p w14:paraId="44895947" w14:textId="77777777" w:rsidR="00A60164" w:rsidRDefault="00414275">
      <w:pPr>
        <w:spacing w:after="160" w:line="276" w:lineRule="auto"/>
      </w:pPr>
      <w:r>
        <w:rPr>
          <w:rFonts w:ascii="Arial" w:eastAsia="Arial" w:hAnsi="Arial" w:cs="Arial"/>
          <w:color w:val="111111"/>
          <w:sz w:val="22"/>
          <w:szCs w:val="22"/>
        </w:rPr>
        <w:t>From a ve</w:t>
      </w:r>
      <w:r>
        <w:rPr>
          <w:rFonts w:ascii="Arial" w:eastAsia="Arial" w:hAnsi="Arial" w:cs="Arial"/>
          <w:color w:val="111111"/>
          <w:sz w:val="22"/>
          <w:szCs w:val="22"/>
        </w:rPr>
        <w:t xml:space="preserve">ndor's detail view, click Generate AI Summary to produce a board-ready risk narrative for the vendor. The AI uses the vendor's risk tier, linked assessment scores, risk events, and your company profile to generate a structured summary with an overall risk </w:t>
      </w:r>
      <w:r>
        <w:rPr>
          <w:rFonts w:ascii="Arial" w:eastAsia="Arial" w:hAnsi="Arial" w:cs="Arial"/>
          <w:color w:val="111111"/>
          <w:sz w:val="22"/>
          <w:szCs w:val="22"/>
        </w:rPr>
        <w:t>rating and recommended actions. The summary is saved to the vendor record.</w:t>
      </w:r>
    </w:p>
    <w:p w14:paraId="6432CE5C" w14:textId="77777777" w:rsidR="00A60164" w:rsidRDefault="00414275">
      <w:pPr>
        <w:pStyle w:val="Heading2"/>
        <w:spacing w:before="300" w:after="160"/>
      </w:pPr>
      <w:r>
        <w:rPr>
          <w:rFonts w:ascii="Arial" w:eastAsia="Arial" w:hAnsi="Arial" w:cs="Arial"/>
          <w:b/>
          <w:bCs/>
          <w:color w:val="2A7D6B"/>
          <w:sz w:val="32"/>
          <w:szCs w:val="32"/>
        </w:rPr>
        <w:t>Risk Events (Professional)</w:t>
      </w:r>
    </w:p>
    <w:p w14:paraId="0C2389E6" w14:textId="77777777" w:rsidR="00A60164" w:rsidRDefault="00414275">
      <w:pPr>
        <w:spacing w:after="160" w:line="276" w:lineRule="auto"/>
      </w:pPr>
      <w:r>
        <w:rPr>
          <w:rFonts w:ascii="Arial" w:eastAsia="Arial" w:hAnsi="Arial" w:cs="Arial"/>
          <w:color w:val="111111"/>
          <w:sz w:val="22"/>
          <w:szCs w:val="22"/>
        </w:rPr>
        <w:t>Risk events are incidents or concerns associated with a specific vendor — data breaches, service outages, compliance failures, or contract disputes. Add a</w:t>
      </w:r>
      <w:r>
        <w:rPr>
          <w:rFonts w:ascii="Arial" w:eastAsia="Arial" w:hAnsi="Arial" w:cs="Arial"/>
          <w:color w:val="111111"/>
          <w:sz w:val="22"/>
          <w:szCs w:val="22"/>
        </w:rPr>
        <w:t xml:space="preserve"> risk event from the vendor detail view. Each event records:</w:t>
      </w:r>
    </w:p>
    <w:p w14:paraId="4A6DF44D"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Event type — Incident, Compliance Issue, Service Disruption, or Contract Issue.</w:t>
      </w:r>
    </w:p>
    <w:p w14:paraId="77420D34"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Severity — Critical, High, Medium, or Low.</w:t>
      </w:r>
    </w:p>
    <w:p w14:paraId="3C017EEC"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Event date and optional resolved date.</w:t>
      </w:r>
    </w:p>
    <w:p w14:paraId="206F0777"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lastRenderedPageBreak/>
        <w:t>Description and resolution notes.</w:t>
      </w:r>
    </w:p>
    <w:p w14:paraId="5E7E3100" w14:textId="77777777" w:rsidR="00A60164" w:rsidRDefault="00414275">
      <w:pPr>
        <w:spacing w:after="160" w:line="276" w:lineRule="auto"/>
        <w:ind w:left="720"/>
      </w:pPr>
      <w:r>
        <w:rPr>
          <w:rFonts w:ascii="Arial" w:eastAsia="Arial" w:hAnsi="Arial" w:cs="Arial"/>
          <w:i/>
          <w:iCs/>
          <w:color w:val="6B7280"/>
        </w:rPr>
        <w:t>Risk event tracking is a Professional-only feature. Community tier users can view the vendor list and basic details but cannot add risk events.</w:t>
      </w:r>
    </w:p>
    <w:p w14:paraId="2A2AC5DC" w14:textId="77777777" w:rsidR="00A60164" w:rsidRDefault="00414275">
      <w:pPr>
        <w:pStyle w:val="Heading2"/>
        <w:spacing w:before="300" w:after="160"/>
      </w:pPr>
      <w:r>
        <w:rPr>
          <w:rFonts w:ascii="Arial" w:eastAsia="Arial" w:hAnsi="Arial" w:cs="Arial"/>
          <w:b/>
          <w:bCs/>
          <w:color w:val="2A7D6B"/>
          <w:sz w:val="32"/>
          <w:szCs w:val="32"/>
        </w:rPr>
        <w:t>Review Cycles</w:t>
      </w:r>
    </w:p>
    <w:p w14:paraId="45F5623D" w14:textId="77777777" w:rsidR="00A60164" w:rsidRDefault="00414275">
      <w:pPr>
        <w:spacing w:after="160" w:line="276" w:lineRule="auto"/>
      </w:pPr>
      <w:r>
        <w:rPr>
          <w:rFonts w:ascii="Arial" w:eastAsia="Arial" w:hAnsi="Arial" w:cs="Arial"/>
          <w:color w:val="111111"/>
          <w:sz w:val="22"/>
          <w:szCs w:val="22"/>
        </w:rPr>
        <w:t xml:space="preserve">Each vendor record includes a Review Date field. When the review date passes, the vendor appears </w:t>
      </w:r>
      <w:r>
        <w:rPr>
          <w:rFonts w:ascii="Arial" w:eastAsia="Arial" w:hAnsi="Arial" w:cs="Arial"/>
          <w:color w:val="111111"/>
          <w:sz w:val="22"/>
          <w:szCs w:val="22"/>
        </w:rPr>
        <w:t>in the "Vendor reviews due" alert on the Dashboard Needs Attention section. This prompts you to re-assess the vendor's security posture and update their risk tier if necessary.</w:t>
      </w:r>
    </w:p>
    <w:p w14:paraId="71C6856A" w14:textId="77777777" w:rsidR="00A60164" w:rsidRDefault="00414275">
      <w:pPr>
        <w:pStyle w:val="Heading2"/>
        <w:spacing w:before="300" w:after="160"/>
      </w:pPr>
      <w:r>
        <w:rPr>
          <w:rFonts w:ascii="Arial" w:eastAsia="Arial" w:hAnsi="Arial" w:cs="Arial"/>
          <w:b/>
          <w:bCs/>
          <w:color w:val="2A7D6B"/>
          <w:sz w:val="32"/>
          <w:szCs w:val="32"/>
        </w:rPr>
        <w:t>Community Limits</w:t>
      </w:r>
    </w:p>
    <w:p w14:paraId="5CC35023" w14:textId="7A05E002" w:rsidR="00A60164" w:rsidRDefault="00414275" w:rsidP="001B2934">
      <w:pPr>
        <w:spacing w:after="160" w:line="276" w:lineRule="auto"/>
      </w:pPr>
      <w:r>
        <w:rPr>
          <w:rFonts w:ascii="Arial" w:eastAsia="Arial" w:hAnsi="Arial" w:cs="Arial"/>
          <w:color w:val="111111"/>
          <w:sz w:val="22"/>
          <w:szCs w:val="22"/>
        </w:rPr>
        <w:t xml:space="preserve">Community tier users can view and maintain vendor records and </w:t>
      </w:r>
      <w:r>
        <w:rPr>
          <w:rFonts w:ascii="Arial" w:eastAsia="Arial" w:hAnsi="Arial" w:cs="Arial"/>
          <w:color w:val="111111"/>
          <w:sz w:val="22"/>
          <w:szCs w:val="22"/>
        </w:rPr>
        <w:t>basic details. The following features require a Professional licence: vendor assessments, response analysis, AI risk summaries, and risk event tracking.</w:t>
      </w:r>
    </w:p>
    <w:p w14:paraId="4BE6410E" w14:textId="77777777" w:rsidR="00A60164" w:rsidRDefault="00414275">
      <w:pPr>
        <w:pStyle w:val="Heading1"/>
        <w:spacing w:before="400" w:after="200"/>
      </w:pPr>
      <w:r>
        <w:rPr>
          <w:rFonts w:ascii="Arial" w:eastAsia="Arial" w:hAnsi="Arial" w:cs="Arial"/>
          <w:b/>
          <w:bCs/>
          <w:color w:val="0F2B3D"/>
          <w:sz w:val="48"/>
          <w:szCs w:val="48"/>
        </w:rPr>
        <w:t>Chapter 9: Policy Register</w:t>
      </w:r>
    </w:p>
    <w:p w14:paraId="5B5A96F8" w14:textId="77777777" w:rsidR="00A60164" w:rsidRDefault="00414275">
      <w:pPr>
        <w:pStyle w:val="Heading2"/>
        <w:spacing w:before="300" w:after="160"/>
      </w:pPr>
      <w:r>
        <w:rPr>
          <w:rFonts w:ascii="Arial" w:eastAsia="Arial" w:hAnsi="Arial" w:cs="Arial"/>
          <w:b/>
          <w:bCs/>
          <w:color w:val="2A7D6B"/>
          <w:sz w:val="32"/>
          <w:szCs w:val="32"/>
        </w:rPr>
        <w:t>Overview</w:t>
      </w:r>
    </w:p>
    <w:p w14:paraId="3D5E7C9D" w14:textId="77777777" w:rsidR="00A60164" w:rsidRDefault="00414275">
      <w:pPr>
        <w:spacing w:after="160" w:line="276" w:lineRule="auto"/>
      </w:pPr>
      <w:r>
        <w:rPr>
          <w:rFonts w:ascii="Arial" w:eastAsia="Arial" w:hAnsi="Arial" w:cs="Arial"/>
          <w:color w:val="111111"/>
          <w:sz w:val="22"/>
          <w:szCs w:val="22"/>
        </w:rPr>
        <w:t xml:space="preserve">The Policy Register is a centralised repository for your organisation's information security policies. It tracks each policy's lifecycle from draft through approval and review, and links policies to compliance evidence and staff acknowledgements. Approved </w:t>
      </w:r>
      <w:r>
        <w:rPr>
          <w:rFonts w:ascii="Arial" w:eastAsia="Arial" w:hAnsi="Arial" w:cs="Arial"/>
          <w:color w:val="111111"/>
          <w:sz w:val="22"/>
          <w:szCs w:val="22"/>
        </w:rPr>
        <w:t>policies automatically appear in the Trust Center builder.</w:t>
      </w:r>
    </w:p>
    <w:p w14:paraId="6CDF68AD" w14:textId="77777777" w:rsidR="00A60164" w:rsidRDefault="00414275">
      <w:pPr>
        <w:pStyle w:val="Heading2"/>
        <w:spacing w:before="300" w:after="160"/>
      </w:pPr>
      <w:r>
        <w:rPr>
          <w:rFonts w:ascii="Arial" w:eastAsia="Arial" w:hAnsi="Arial" w:cs="Arial"/>
          <w:b/>
          <w:bCs/>
          <w:color w:val="2A7D6B"/>
          <w:sz w:val="32"/>
          <w:szCs w:val="32"/>
        </w:rPr>
        <w:t>Dashboard</w:t>
      </w:r>
    </w:p>
    <w:p w14:paraId="51BFA64A" w14:textId="77777777" w:rsidR="00A60164" w:rsidRDefault="00414275">
      <w:pPr>
        <w:spacing w:after="160" w:line="276" w:lineRule="auto"/>
      </w:pPr>
      <w:r>
        <w:rPr>
          <w:rFonts w:ascii="Arial" w:eastAsia="Arial" w:hAnsi="Arial" w:cs="Arial"/>
          <w:color w:val="111111"/>
          <w:sz w:val="22"/>
          <w:szCs w:val="22"/>
        </w:rPr>
        <w:t>The Overview tab shows a breakdown of your policies by status (Draft, In Review, Approved, Expired, Retired), how many are due for review, and which policies are overdue. This data feeds the Needs Attention section on the Dashboard.</w:t>
      </w:r>
    </w:p>
    <w:p w14:paraId="405B3F06" w14:textId="77777777" w:rsidR="00A60164" w:rsidRDefault="00414275">
      <w:pPr>
        <w:pStyle w:val="Heading2"/>
        <w:spacing w:before="300" w:after="160"/>
      </w:pPr>
      <w:r>
        <w:rPr>
          <w:rFonts w:ascii="Arial" w:eastAsia="Arial" w:hAnsi="Arial" w:cs="Arial"/>
          <w:b/>
          <w:bCs/>
          <w:color w:val="2A7D6B"/>
          <w:sz w:val="32"/>
          <w:szCs w:val="32"/>
        </w:rPr>
        <w:t>Adding a Policy</w:t>
      </w:r>
    </w:p>
    <w:p w14:paraId="078D905E" w14:textId="77777777" w:rsidR="00A60164" w:rsidRDefault="00414275">
      <w:pPr>
        <w:spacing w:after="160" w:line="276" w:lineRule="auto"/>
      </w:pPr>
      <w:r>
        <w:rPr>
          <w:rFonts w:ascii="Arial" w:eastAsia="Arial" w:hAnsi="Arial" w:cs="Arial"/>
          <w:color w:val="111111"/>
          <w:sz w:val="22"/>
          <w:szCs w:val="22"/>
        </w:rPr>
        <w:t>Click A</w:t>
      </w:r>
      <w:r>
        <w:rPr>
          <w:rFonts w:ascii="Arial" w:eastAsia="Arial" w:hAnsi="Arial" w:cs="Arial"/>
          <w:color w:val="111111"/>
          <w:sz w:val="22"/>
          <w:szCs w:val="22"/>
        </w:rPr>
        <w:t>dd Policy to create a new policy record. Fields include:</w:t>
      </w:r>
    </w:p>
    <w:p w14:paraId="5CE808B0"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Title — the policy name.</w:t>
      </w:r>
    </w:p>
    <w:p w14:paraId="4CA23E06"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Category — choose from Access Control, Business Continuity, Compliance, Data Protection, Development, Governance, Incident Response, Infrastructure, People, Response, and Ven</w:t>
      </w:r>
      <w:r>
        <w:rPr>
          <w:rFonts w:ascii="Arial" w:eastAsia="Arial" w:hAnsi="Arial" w:cs="Arial"/>
          <w:color w:val="111111"/>
          <w:sz w:val="22"/>
          <w:szCs w:val="22"/>
        </w:rPr>
        <w:t>dor Management.</w:t>
      </w:r>
    </w:p>
    <w:p w14:paraId="07325036"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Version — version number (e.g. 1.0, 2.3).</w:t>
      </w:r>
    </w:p>
    <w:p w14:paraId="303BEDE7"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Status — Draft, In Review, Approved, Expired, or Retired.</w:t>
      </w:r>
    </w:p>
    <w:p w14:paraId="062278EF"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Owner and Approver — the responsible individual and the person who approved the policy.</w:t>
      </w:r>
    </w:p>
    <w:p w14:paraId="73861D45"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 xml:space="preserve">Dates — approved date, effective date, review date, </w:t>
      </w:r>
      <w:r>
        <w:rPr>
          <w:rFonts w:ascii="Arial" w:eastAsia="Arial" w:hAnsi="Arial" w:cs="Arial"/>
          <w:color w:val="111111"/>
          <w:sz w:val="22"/>
          <w:szCs w:val="22"/>
        </w:rPr>
        <w:t>and last reviewed date.</w:t>
      </w:r>
    </w:p>
    <w:p w14:paraId="7B1DE5F6"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lastRenderedPageBreak/>
        <w:t>Description and Scope — what the policy covers and who it applies to.</w:t>
      </w:r>
    </w:p>
    <w:p w14:paraId="450BFEFC"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 xml:space="preserve">Framework Mappings — which compliance frameworks this policy satisfies, chosen from SOC2, ISO27001, NIST CSF, GDPR, CCPA, HIPAA, CMMC, DORA, NIS2, PCI-DSS, CAIQ, </w:t>
      </w:r>
      <w:r>
        <w:rPr>
          <w:rFonts w:ascii="Arial" w:eastAsia="Arial" w:hAnsi="Arial" w:cs="Arial"/>
          <w:color w:val="111111"/>
          <w:sz w:val="22"/>
          <w:szCs w:val="22"/>
        </w:rPr>
        <w:t>and SIG.</w:t>
      </w:r>
    </w:p>
    <w:p w14:paraId="7841E3AF"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Document Reference — an internal document ID or file path.</w:t>
      </w:r>
    </w:p>
    <w:p w14:paraId="12C89E1F"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Content Summary and Notes — free-text fields.</w:t>
      </w:r>
    </w:p>
    <w:p w14:paraId="3566D451" w14:textId="77777777" w:rsidR="00A60164" w:rsidRDefault="00414275">
      <w:pPr>
        <w:pStyle w:val="Heading2"/>
        <w:spacing w:before="300" w:after="160"/>
      </w:pPr>
      <w:r>
        <w:rPr>
          <w:rFonts w:ascii="Arial" w:eastAsia="Arial" w:hAnsi="Arial" w:cs="Arial"/>
          <w:b/>
          <w:bCs/>
          <w:color w:val="2A7D6B"/>
          <w:sz w:val="32"/>
          <w:szCs w:val="32"/>
        </w:rPr>
        <w:t>Built-in Templates</w:t>
      </w:r>
    </w:p>
    <w:p w14:paraId="44EC0516" w14:textId="77777777" w:rsidR="00A60164" w:rsidRDefault="00414275">
      <w:pPr>
        <w:spacing w:after="160" w:line="276" w:lineRule="auto"/>
      </w:pPr>
      <w:r>
        <w:rPr>
          <w:rFonts w:ascii="Arial" w:eastAsia="Arial" w:hAnsi="Arial" w:cs="Arial"/>
          <w:color w:val="111111"/>
          <w:sz w:val="22"/>
          <w:szCs w:val="22"/>
        </w:rPr>
        <w:t>Ridgeguard includes 15 built-in policy templates to give you a starting point for each common policy type. Click Use Templa</w:t>
      </w:r>
      <w:r>
        <w:rPr>
          <w:rFonts w:ascii="Arial" w:eastAsia="Arial" w:hAnsi="Arial" w:cs="Arial"/>
          <w:color w:val="111111"/>
          <w:sz w:val="22"/>
          <w:szCs w:val="22"/>
        </w:rPr>
        <w:t>te when adding a policy to pre-populate the title, category, description, scope, and framework mappings. The templates are:</w:t>
      </w:r>
    </w:p>
    <w:p w14:paraId="2D8BF8C8"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Information Security Policy</w:t>
      </w:r>
    </w:p>
    <w:p w14:paraId="6DD3D7B0"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Access Control Policy</w:t>
      </w:r>
    </w:p>
    <w:p w14:paraId="73065C44"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Authentication &amp; Password Policy</w:t>
      </w:r>
    </w:p>
    <w:p w14:paraId="560E9B1B"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Data Classification Policy</w:t>
      </w:r>
    </w:p>
    <w:p w14:paraId="09614523"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Data Retention &amp; Dispo</w:t>
      </w:r>
      <w:r>
        <w:rPr>
          <w:rFonts w:ascii="Arial" w:eastAsia="Arial" w:hAnsi="Arial" w:cs="Arial"/>
          <w:color w:val="111111"/>
          <w:sz w:val="22"/>
          <w:szCs w:val="22"/>
        </w:rPr>
        <w:t>sal Policy</w:t>
      </w:r>
    </w:p>
    <w:p w14:paraId="73A5F986"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Encryption Policy</w:t>
      </w:r>
    </w:p>
    <w:p w14:paraId="41627128"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Incident Response Policy</w:t>
      </w:r>
    </w:p>
    <w:p w14:paraId="789BDF86"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Business Continuity Policy</w:t>
      </w:r>
    </w:p>
    <w:p w14:paraId="0EDB0946"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Vendor Management Policy</w:t>
      </w:r>
    </w:p>
    <w:p w14:paraId="03FF83FF"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Acceptable Use Policy</w:t>
      </w:r>
    </w:p>
    <w:p w14:paraId="7C777EA3"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Security Awareness Training Policy</w:t>
      </w:r>
    </w:p>
    <w:p w14:paraId="0F422B7A"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Change Management Policy</w:t>
      </w:r>
    </w:p>
    <w:p w14:paraId="788AAF53"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Vulnerability Management Policy</w:t>
      </w:r>
    </w:p>
    <w:p w14:paraId="7B74F258"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Network Security Policy</w:t>
      </w:r>
    </w:p>
    <w:p w14:paraId="50820916"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Privacy Policy</w:t>
      </w:r>
    </w:p>
    <w:p w14:paraId="27A37938" w14:textId="77777777" w:rsidR="00A60164" w:rsidRDefault="00414275">
      <w:pPr>
        <w:pStyle w:val="Heading2"/>
        <w:spacing w:before="300" w:after="160"/>
      </w:pPr>
      <w:r>
        <w:rPr>
          <w:rFonts w:ascii="Arial" w:eastAsia="Arial" w:hAnsi="Arial" w:cs="Arial"/>
          <w:b/>
          <w:bCs/>
          <w:color w:val="2A7D6B"/>
          <w:sz w:val="32"/>
          <w:szCs w:val="32"/>
        </w:rPr>
        <w:t>Policy Lifecycle</w:t>
      </w:r>
    </w:p>
    <w:p w14:paraId="456E2638" w14:textId="77777777" w:rsidR="00A60164" w:rsidRDefault="00414275">
      <w:pPr>
        <w:spacing w:after="160" w:line="276" w:lineRule="auto"/>
      </w:pPr>
      <w:r>
        <w:rPr>
          <w:rFonts w:ascii="Arial" w:eastAsia="Arial" w:hAnsi="Arial" w:cs="Arial"/>
          <w:color w:val="111111"/>
          <w:sz w:val="22"/>
          <w:szCs w:val="22"/>
        </w:rPr>
        <w:t>A policy moves through these status stages:</w:t>
      </w:r>
    </w:p>
    <w:p w14:paraId="2DBD1A1F"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Draft — being written or reviewed internally. Not yet formally active.</w:t>
      </w:r>
    </w:p>
    <w:p w14:paraId="4A9FE0B1"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In Review — under review by a stakeholder or approver before approval.</w:t>
      </w:r>
    </w:p>
    <w:p w14:paraId="727BC070"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Approved — for</w:t>
      </w:r>
      <w:r>
        <w:rPr>
          <w:rFonts w:ascii="Arial" w:eastAsia="Arial" w:hAnsi="Arial" w:cs="Arial"/>
          <w:color w:val="111111"/>
          <w:sz w:val="22"/>
          <w:szCs w:val="22"/>
        </w:rPr>
        <w:t>mally approved and in effect. Appears automatically in the Trust Center.</w:t>
      </w:r>
    </w:p>
    <w:p w14:paraId="1092763C"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Expired — passed its review date without being renewed. Flagged on the Dashboard.</w:t>
      </w:r>
    </w:p>
    <w:p w14:paraId="5DCEA4DA"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Retired — intentionally decommissioned and no longer in use.</w:t>
      </w:r>
    </w:p>
    <w:p w14:paraId="5B971CDB" w14:textId="77777777" w:rsidR="00A60164" w:rsidRDefault="00414275">
      <w:pPr>
        <w:pStyle w:val="Heading2"/>
        <w:spacing w:before="300" w:after="160"/>
      </w:pPr>
      <w:r>
        <w:rPr>
          <w:rFonts w:ascii="Arial" w:eastAsia="Arial" w:hAnsi="Arial" w:cs="Arial"/>
          <w:b/>
          <w:bCs/>
          <w:color w:val="2A7D6B"/>
          <w:sz w:val="32"/>
          <w:szCs w:val="32"/>
        </w:rPr>
        <w:t>Evidence Linking (Professional)</w:t>
      </w:r>
    </w:p>
    <w:p w14:paraId="4F3AD958" w14:textId="77777777" w:rsidR="00A60164" w:rsidRDefault="00414275">
      <w:pPr>
        <w:spacing w:after="160" w:line="276" w:lineRule="auto"/>
      </w:pPr>
      <w:r>
        <w:rPr>
          <w:rFonts w:ascii="Arial" w:eastAsia="Arial" w:hAnsi="Arial" w:cs="Arial"/>
          <w:color w:val="111111"/>
          <w:sz w:val="22"/>
          <w:szCs w:val="22"/>
        </w:rPr>
        <w:lastRenderedPageBreak/>
        <w:t>For each</w:t>
      </w:r>
      <w:r>
        <w:rPr>
          <w:rFonts w:ascii="Arial" w:eastAsia="Arial" w:hAnsi="Arial" w:cs="Arial"/>
          <w:color w:val="111111"/>
          <w:sz w:val="22"/>
          <w:szCs w:val="22"/>
        </w:rPr>
        <w:t xml:space="preserve"> policy, you can attach evidence records that demonstrate the policy is being followed. Evidence can be linked from multiple sources:</w:t>
      </w:r>
    </w:p>
    <w:p w14:paraId="1FB0F25E"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Gap Assessment — link a gap question answer as evidence of policy implementation.</w:t>
      </w:r>
    </w:p>
    <w:p w14:paraId="624EBB1E"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Vendor Assessment — link a vendor assess</w:t>
      </w:r>
      <w:r>
        <w:rPr>
          <w:rFonts w:ascii="Arial" w:eastAsia="Arial" w:hAnsi="Arial" w:cs="Arial"/>
          <w:color w:val="111111"/>
          <w:sz w:val="22"/>
          <w:szCs w:val="22"/>
        </w:rPr>
        <w:t>ment result as supply-chain evidence.</w:t>
      </w:r>
    </w:p>
    <w:p w14:paraId="016D45DE"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Configuration — reference a system configuration or technical control.</w:t>
      </w:r>
    </w:p>
    <w:p w14:paraId="581E1290"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Document — attach or reference an internal document.</w:t>
      </w:r>
    </w:p>
    <w:p w14:paraId="14BB1202"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Training Record — staff training completion records.</w:t>
      </w:r>
    </w:p>
    <w:p w14:paraId="67AE80AF"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Audit Finding — findings from internal or external audits.</w:t>
      </w:r>
    </w:p>
    <w:p w14:paraId="2C8BAEFD"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Other — any other evidence type.</w:t>
      </w:r>
    </w:p>
    <w:p w14:paraId="05C4EB97" w14:textId="77777777" w:rsidR="00A60164" w:rsidRDefault="00414275">
      <w:pPr>
        <w:spacing w:after="160" w:line="276" w:lineRule="auto"/>
        <w:ind w:left="720"/>
      </w:pPr>
      <w:r>
        <w:rPr>
          <w:rFonts w:ascii="Arial" w:eastAsia="Arial" w:hAnsi="Arial" w:cs="Arial"/>
          <w:i/>
          <w:iCs/>
          <w:color w:val="6B7280"/>
        </w:rPr>
        <w:t>Evidence linking is a Professional-only feature. Community tier users can manage policies but cannot add eviden</w:t>
      </w:r>
      <w:r>
        <w:rPr>
          <w:rFonts w:ascii="Arial" w:eastAsia="Arial" w:hAnsi="Arial" w:cs="Arial"/>
          <w:i/>
          <w:iCs/>
          <w:color w:val="6B7280"/>
        </w:rPr>
        <w:t>ce records.</w:t>
      </w:r>
    </w:p>
    <w:p w14:paraId="6E8EC4DD" w14:textId="77777777" w:rsidR="00A60164" w:rsidRDefault="00414275">
      <w:pPr>
        <w:pStyle w:val="Heading2"/>
        <w:spacing w:before="300" w:after="160"/>
      </w:pPr>
      <w:r>
        <w:rPr>
          <w:rFonts w:ascii="Arial" w:eastAsia="Arial" w:hAnsi="Arial" w:cs="Arial"/>
          <w:b/>
          <w:bCs/>
          <w:color w:val="2A7D6B"/>
          <w:sz w:val="32"/>
          <w:szCs w:val="32"/>
        </w:rPr>
        <w:t>Acknowledgements</w:t>
      </w:r>
    </w:p>
    <w:p w14:paraId="76233749" w14:textId="77777777" w:rsidR="00A60164" w:rsidRDefault="00414275">
      <w:pPr>
        <w:spacing w:after="160" w:line="276" w:lineRule="auto"/>
      </w:pPr>
      <w:r>
        <w:rPr>
          <w:rFonts w:ascii="Arial" w:eastAsia="Arial" w:hAnsi="Arial" w:cs="Arial"/>
          <w:color w:val="111111"/>
          <w:sz w:val="22"/>
          <w:szCs w:val="22"/>
        </w:rPr>
        <w:t>Track staff acknowledgements of each policy from the policy detail view. Record the name of each person who has acknowledged the policy and the date. This produces a simple acknowledgement log that can be used as evidence durin</w:t>
      </w:r>
      <w:r>
        <w:rPr>
          <w:rFonts w:ascii="Arial" w:eastAsia="Arial" w:hAnsi="Arial" w:cs="Arial"/>
          <w:color w:val="111111"/>
          <w:sz w:val="22"/>
          <w:szCs w:val="22"/>
        </w:rPr>
        <w:t>g audits.</w:t>
      </w:r>
    </w:p>
    <w:p w14:paraId="400CE607" w14:textId="77777777" w:rsidR="00A60164" w:rsidRDefault="00414275">
      <w:pPr>
        <w:pStyle w:val="Heading2"/>
        <w:spacing w:before="300" w:after="160"/>
      </w:pPr>
      <w:r>
        <w:rPr>
          <w:rFonts w:ascii="Arial" w:eastAsia="Arial" w:hAnsi="Arial" w:cs="Arial"/>
          <w:b/>
          <w:bCs/>
          <w:color w:val="2A7D6B"/>
          <w:sz w:val="32"/>
          <w:szCs w:val="32"/>
        </w:rPr>
        <w:t>Review Cycles</w:t>
      </w:r>
    </w:p>
    <w:p w14:paraId="49E173C8" w14:textId="77777777" w:rsidR="00A60164" w:rsidRDefault="00414275">
      <w:pPr>
        <w:spacing w:after="160" w:line="276" w:lineRule="auto"/>
      </w:pPr>
      <w:r>
        <w:rPr>
          <w:rFonts w:ascii="Arial" w:eastAsia="Arial" w:hAnsi="Arial" w:cs="Arial"/>
          <w:color w:val="111111"/>
          <w:sz w:val="22"/>
          <w:szCs w:val="22"/>
        </w:rPr>
        <w:t>Set a Review Date on each policy to track when it is due for renewal. The Dashboard flags overdue or upcoming reviews in the Needs Attention section. When you complete a review, update the Last Reviewed date and advance the version number if the policy con</w:t>
      </w:r>
      <w:r>
        <w:rPr>
          <w:rFonts w:ascii="Arial" w:eastAsia="Arial" w:hAnsi="Arial" w:cs="Arial"/>
          <w:color w:val="111111"/>
          <w:sz w:val="22"/>
          <w:szCs w:val="22"/>
        </w:rPr>
        <w:t>tent changed.</w:t>
      </w:r>
    </w:p>
    <w:p w14:paraId="6923A64E" w14:textId="77777777" w:rsidR="00A60164" w:rsidRDefault="00414275">
      <w:pPr>
        <w:pStyle w:val="Heading2"/>
        <w:spacing w:before="300" w:after="160"/>
      </w:pPr>
      <w:r>
        <w:rPr>
          <w:rFonts w:ascii="Arial" w:eastAsia="Arial" w:hAnsi="Arial" w:cs="Arial"/>
          <w:b/>
          <w:bCs/>
          <w:color w:val="2A7D6B"/>
          <w:sz w:val="32"/>
          <w:szCs w:val="32"/>
        </w:rPr>
        <w:t>Trust Center Integration</w:t>
      </w:r>
    </w:p>
    <w:p w14:paraId="17AFF8B2" w14:textId="77777777" w:rsidR="00A60164" w:rsidRDefault="00414275">
      <w:pPr>
        <w:spacing w:after="160" w:line="276" w:lineRule="auto"/>
      </w:pPr>
      <w:r>
        <w:rPr>
          <w:rFonts w:ascii="Arial" w:eastAsia="Arial" w:hAnsi="Arial" w:cs="Arial"/>
          <w:color w:val="111111"/>
          <w:sz w:val="22"/>
          <w:szCs w:val="22"/>
        </w:rPr>
        <w:t>Any policy with a status of Approved is automatically available in the Trust Center builder under the Policy Register group. This means your public Trust Center always reflects your current approved policy set without</w:t>
      </w:r>
      <w:r>
        <w:rPr>
          <w:rFonts w:ascii="Arial" w:eastAsia="Arial" w:hAnsi="Arial" w:cs="Arial"/>
          <w:color w:val="111111"/>
          <w:sz w:val="22"/>
          <w:szCs w:val="22"/>
        </w:rPr>
        <w:t xml:space="preserve"> manual duplication.</w:t>
      </w:r>
    </w:p>
    <w:p w14:paraId="54E48FE4" w14:textId="77777777" w:rsidR="00A60164" w:rsidRDefault="00414275">
      <w:pPr>
        <w:pStyle w:val="Heading2"/>
        <w:spacing w:before="300" w:after="160"/>
      </w:pPr>
      <w:r>
        <w:rPr>
          <w:rFonts w:ascii="Arial" w:eastAsia="Arial" w:hAnsi="Arial" w:cs="Arial"/>
          <w:b/>
          <w:bCs/>
          <w:color w:val="2A7D6B"/>
          <w:sz w:val="32"/>
          <w:szCs w:val="32"/>
        </w:rPr>
        <w:t>Community Limits</w:t>
      </w:r>
    </w:p>
    <w:p w14:paraId="0DF6947C" w14:textId="29FFBE2D" w:rsidR="00A60164" w:rsidRDefault="00414275" w:rsidP="001B2934">
      <w:pPr>
        <w:spacing w:after="160" w:line="276" w:lineRule="auto"/>
      </w:pPr>
      <w:r>
        <w:rPr>
          <w:rFonts w:ascii="Arial" w:eastAsia="Arial" w:hAnsi="Arial" w:cs="Arial"/>
          <w:color w:val="111111"/>
          <w:sz w:val="22"/>
          <w:szCs w:val="22"/>
        </w:rPr>
        <w:t>Community tier users can create and manage policies through their full lifecycle. Evidence linking requires a Professional licence. Policy counts are not capped on any tier.</w:t>
      </w:r>
    </w:p>
    <w:p w14:paraId="47AB0494" w14:textId="77777777" w:rsidR="00A60164" w:rsidRDefault="00414275">
      <w:pPr>
        <w:pStyle w:val="Heading1"/>
        <w:spacing w:before="400" w:after="200"/>
      </w:pPr>
      <w:r>
        <w:rPr>
          <w:rFonts w:ascii="Arial" w:eastAsia="Arial" w:hAnsi="Arial" w:cs="Arial"/>
          <w:b/>
          <w:bCs/>
          <w:color w:val="0F2B3D"/>
          <w:sz w:val="48"/>
          <w:szCs w:val="48"/>
        </w:rPr>
        <w:t>Chapter 10: Compliance Profiles</w:t>
      </w:r>
    </w:p>
    <w:p w14:paraId="06DB9010" w14:textId="77777777" w:rsidR="00A60164" w:rsidRDefault="00414275">
      <w:pPr>
        <w:pStyle w:val="Heading2"/>
        <w:spacing w:before="300" w:after="160"/>
      </w:pPr>
      <w:r>
        <w:rPr>
          <w:rFonts w:ascii="Arial" w:eastAsia="Arial" w:hAnsi="Arial" w:cs="Arial"/>
          <w:b/>
          <w:bCs/>
          <w:color w:val="2A7D6B"/>
          <w:sz w:val="32"/>
          <w:szCs w:val="32"/>
        </w:rPr>
        <w:t>What Compl</w:t>
      </w:r>
      <w:r>
        <w:rPr>
          <w:rFonts w:ascii="Arial" w:eastAsia="Arial" w:hAnsi="Arial" w:cs="Arial"/>
          <w:b/>
          <w:bCs/>
          <w:color w:val="2A7D6B"/>
          <w:sz w:val="32"/>
          <w:szCs w:val="32"/>
        </w:rPr>
        <w:t>iance Mapping Shows</w:t>
      </w:r>
    </w:p>
    <w:p w14:paraId="303277AD" w14:textId="77777777" w:rsidR="00A60164" w:rsidRDefault="00414275">
      <w:pPr>
        <w:spacing w:after="160" w:line="276" w:lineRule="auto"/>
      </w:pPr>
      <w:r>
        <w:rPr>
          <w:rFonts w:ascii="Arial" w:eastAsia="Arial" w:hAnsi="Arial" w:cs="Arial"/>
          <w:color w:val="111111"/>
          <w:sz w:val="22"/>
          <w:szCs w:val="22"/>
        </w:rPr>
        <w:t>The Compliance Profiles page maps your Answer Library answers and Gap Assessment results against ten major compliance frameworks. It shows you which framework controls you can currently address and highlights where coverage is thin. Thi</w:t>
      </w:r>
      <w:r>
        <w:rPr>
          <w:rFonts w:ascii="Arial" w:eastAsia="Arial" w:hAnsi="Arial" w:cs="Arial"/>
          <w:color w:val="111111"/>
          <w:sz w:val="22"/>
          <w:szCs w:val="22"/>
        </w:rPr>
        <w:t xml:space="preserve">s helps you understand </w:t>
      </w:r>
      <w:r>
        <w:rPr>
          <w:rFonts w:ascii="Arial" w:eastAsia="Arial" w:hAnsi="Arial" w:cs="Arial"/>
          <w:color w:val="111111"/>
          <w:sz w:val="22"/>
          <w:szCs w:val="22"/>
        </w:rPr>
        <w:lastRenderedPageBreak/>
        <w:t>your compliance posture relative to a specific framework before responding to an RFP that references it.</w:t>
      </w:r>
    </w:p>
    <w:p w14:paraId="1B25F4BA" w14:textId="77777777" w:rsidR="00A60164" w:rsidRDefault="00414275">
      <w:pPr>
        <w:pStyle w:val="Heading2"/>
        <w:spacing w:before="300" w:after="160"/>
      </w:pPr>
      <w:r>
        <w:rPr>
          <w:rFonts w:ascii="Arial" w:eastAsia="Arial" w:hAnsi="Arial" w:cs="Arial"/>
          <w:b/>
          <w:bCs/>
          <w:color w:val="2A7D6B"/>
          <w:sz w:val="32"/>
          <w:szCs w:val="32"/>
        </w:rPr>
        <w:t>Supported Frameworks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054"/>
        <w:gridCol w:w="1253"/>
        <w:gridCol w:w="5709"/>
      </w:tblGrid>
      <w:tr w:rsidR="00A60164" w14:paraId="2857F48D" w14:textId="77777777">
        <w:tblPrEx>
          <w:tblCellMar>
            <w:top w:w="0" w:type="dxa"/>
            <w:bottom w:w="0" w:type="dxa"/>
          </w:tblCellMar>
        </w:tblPrEx>
        <w:trPr>
          <w:tblHeader/>
        </w:trPr>
        <w:tc>
          <w:tcPr>
            <w:tcW w:w="0" w:type="auto"/>
            <w:shd w:val="clear" w:color="auto" w:fill="2A7D6B"/>
          </w:tcPr>
          <w:p w14:paraId="1A2A44FC" w14:textId="77777777" w:rsidR="00A60164" w:rsidRDefault="00414275">
            <w:r>
              <w:rPr>
                <w:rFonts w:ascii="Arial" w:eastAsia="Arial" w:hAnsi="Arial" w:cs="Arial"/>
                <w:b/>
                <w:bCs/>
                <w:color w:val="FFFFFF"/>
              </w:rPr>
              <w:t>Framework</w:t>
            </w:r>
          </w:p>
        </w:tc>
        <w:tc>
          <w:tcPr>
            <w:tcW w:w="0" w:type="auto"/>
            <w:shd w:val="clear" w:color="auto" w:fill="2A7D6B"/>
          </w:tcPr>
          <w:p w14:paraId="62A540FA" w14:textId="77777777" w:rsidR="00A60164" w:rsidRDefault="00414275">
            <w:r>
              <w:rPr>
                <w:rFonts w:ascii="Arial" w:eastAsia="Arial" w:hAnsi="Arial" w:cs="Arial"/>
                <w:b/>
                <w:bCs/>
                <w:color w:val="FFFFFF"/>
              </w:rPr>
              <w:t>Abbreviation</w:t>
            </w:r>
          </w:p>
        </w:tc>
        <w:tc>
          <w:tcPr>
            <w:tcW w:w="0" w:type="auto"/>
            <w:shd w:val="clear" w:color="auto" w:fill="2A7D6B"/>
          </w:tcPr>
          <w:p w14:paraId="78BA90F5" w14:textId="77777777" w:rsidR="00A60164" w:rsidRDefault="00414275">
            <w:r>
              <w:rPr>
                <w:rFonts w:ascii="Arial" w:eastAsia="Arial" w:hAnsi="Arial" w:cs="Arial"/>
                <w:b/>
                <w:bCs/>
                <w:color w:val="FFFFFF"/>
              </w:rPr>
              <w:t>Description</w:t>
            </w:r>
          </w:p>
        </w:tc>
      </w:tr>
      <w:tr w:rsidR="00A60164" w14:paraId="085FA97F" w14:textId="77777777">
        <w:tblPrEx>
          <w:tblCellMar>
            <w:top w:w="0" w:type="dxa"/>
            <w:bottom w:w="0" w:type="dxa"/>
          </w:tblCellMar>
        </w:tblPrEx>
        <w:tc>
          <w:tcPr>
            <w:tcW w:w="0" w:type="auto"/>
          </w:tcPr>
          <w:p w14:paraId="514D8E47" w14:textId="77777777" w:rsidR="00A60164" w:rsidRDefault="00414275">
            <w:r>
              <w:rPr>
                <w:rFonts w:ascii="Arial" w:eastAsia="Arial" w:hAnsi="Arial" w:cs="Arial"/>
                <w:color w:val="111111"/>
              </w:rPr>
              <w:t>NIST Cybersecurity Framework 2.0</w:t>
            </w:r>
          </w:p>
        </w:tc>
        <w:tc>
          <w:tcPr>
            <w:tcW w:w="0" w:type="auto"/>
          </w:tcPr>
          <w:p w14:paraId="27581775" w14:textId="77777777" w:rsidR="00A60164" w:rsidRDefault="00414275">
            <w:r>
              <w:rPr>
                <w:rFonts w:ascii="Arial" w:eastAsia="Arial" w:hAnsi="Arial" w:cs="Arial"/>
                <w:color w:val="111111"/>
              </w:rPr>
              <w:t>NIST CSF 2.0</w:t>
            </w:r>
          </w:p>
        </w:tc>
        <w:tc>
          <w:tcPr>
            <w:tcW w:w="0" w:type="auto"/>
          </w:tcPr>
          <w:p w14:paraId="798898ED" w14:textId="77777777" w:rsidR="00A60164" w:rsidRDefault="00414275">
            <w:r>
              <w:rPr>
                <w:rFonts w:ascii="Arial" w:eastAsia="Arial" w:hAnsi="Arial" w:cs="Arial"/>
                <w:color w:val="111111"/>
              </w:rPr>
              <w:t>The US NIST framework for managing cybersecurity risk across Govern, Identify, Protect, Detect, Respond, and Recover functions</w:t>
            </w:r>
          </w:p>
        </w:tc>
      </w:tr>
      <w:tr w:rsidR="00A60164" w14:paraId="63ACDB04" w14:textId="77777777">
        <w:tblPrEx>
          <w:tblCellMar>
            <w:top w:w="0" w:type="dxa"/>
            <w:bottom w:w="0" w:type="dxa"/>
          </w:tblCellMar>
        </w:tblPrEx>
        <w:tc>
          <w:tcPr>
            <w:tcW w:w="0" w:type="auto"/>
            <w:shd w:val="clear" w:color="auto" w:fill="F9FAFB"/>
          </w:tcPr>
          <w:p w14:paraId="58F6281B" w14:textId="77777777" w:rsidR="00A60164" w:rsidRDefault="00414275">
            <w:r>
              <w:rPr>
                <w:rFonts w:ascii="Arial" w:eastAsia="Arial" w:hAnsi="Arial" w:cs="Arial"/>
                <w:color w:val="111111"/>
              </w:rPr>
              <w:t>ISO/IEC 27001:2022</w:t>
            </w:r>
          </w:p>
        </w:tc>
        <w:tc>
          <w:tcPr>
            <w:tcW w:w="0" w:type="auto"/>
            <w:shd w:val="clear" w:color="auto" w:fill="F9FAFB"/>
          </w:tcPr>
          <w:p w14:paraId="766D6BC5" w14:textId="77777777" w:rsidR="00A60164" w:rsidRDefault="00414275">
            <w:r>
              <w:rPr>
                <w:rFonts w:ascii="Arial" w:eastAsia="Arial" w:hAnsi="Arial" w:cs="Arial"/>
                <w:color w:val="111111"/>
              </w:rPr>
              <w:t>ISO 27001</w:t>
            </w:r>
          </w:p>
        </w:tc>
        <w:tc>
          <w:tcPr>
            <w:tcW w:w="0" w:type="auto"/>
            <w:shd w:val="clear" w:color="auto" w:fill="F9FAFB"/>
          </w:tcPr>
          <w:p w14:paraId="5ECC6E35" w14:textId="77777777" w:rsidR="00A60164" w:rsidRDefault="00414275">
            <w:r>
              <w:rPr>
                <w:rFonts w:ascii="Arial" w:eastAsia="Arial" w:hAnsi="Arial" w:cs="Arial"/>
                <w:color w:val="111111"/>
              </w:rPr>
              <w:t>International standard for information security management systems, updated in 2022 with 93 Annex A controls</w:t>
            </w:r>
          </w:p>
        </w:tc>
      </w:tr>
      <w:tr w:rsidR="00A60164" w14:paraId="667490D5" w14:textId="77777777">
        <w:tblPrEx>
          <w:tblCellMar>
            <w:top w:w="0" w:type="dxa"/>
            <w:bottom w:w="0" w:type="dxa"/>
          </w:tblCellMar>
        </w:tblPrEx>
        <w:tc>
          <w:tcPr>
            <w:tcW w:w="0" w:type="auto"/>
          </w:tcPr>
          <w:p w14:paraId="795B1AA4" w14:textId="77777777" w:rsidR="00A60164" w:rsidRDefault="00414275">
            <w:r>
              <w:rPr>
                <w:rFonts w:ascii="Arial" w:eastAsia="Arial" w:hAnsi="Arial" w:cs="Arial"/>
                <w:color w:val="111111"/>
              </w:rPr>
              <w:t>SOC 2</w:t>
            </w:r>
          </w:p>
        </w:tc>
        <w:tc>
          <w:tcPr>
            <w:tcW w:w="0" w:type="auto"/>
          </w:tcPr>
          <w:p w14:paraId="3719FEE3" w14:textId="77777777" w:rsidR="00A60164" w:rsidRDefault="00414275">
            <w:r>
              <w:rPr>
                <w:rFonts w:ascii="Arial" w:eastAsia="Arial" w:hAnsi="Arial" w:cs="Arial"/>
                <w:color w:val="111111"/>
              </w:rPr>
              <w:t>SOC 2</w:t>
            </w:r>
          </w:p>
        </w:tc>
        <w:tc>
          <w:tcPr>
            <w:tcW w:w="0" w:type="auto"/>
          </w:tcPr>
          <w:p w14:paraId="7B54274C" w14:textId="77777777" w:rsidR="00A60164" w:rsidRDefault="00414275">
            <w:r>
              <w:rPr>
                <w:rFonts w:ascii="Arial" w:eastAsia="Arial" w:hAnsi="Arial" w:cs="Arial"/>
                <w:color w:val="111111"/>
              </w:rPr>
              <w:t>AICPA Trust Service Criteria covering Security, Availability, Processing Integrity, Confidentiality, and Privacy</w:t>
            </w:r>
          </w:p>
        </w:tc>
      </w:tr>
      <w:tr w:rsidR="00A60164" w14:paraId="2681EDE1" w14:textId="77777777">
        <w:tblPrEx>
          <w:tblCellMar>
            <w:top w:w="0" w:type="dxa"/>
            <w:bottom w:w="0" w:type="dxa"/>
          </w:tblCellMar>
        </w:tblPrEx>
        <w:tc>
          <w:tcPr>
            <w:tcW w:w="0" w:type="auto"/>
            <w:shd w:val="clear" w:color="auto" w:fill="F9FAFB"/>
          </w:tcPr>
          <w:p w14:paraId="20E52FE5" w14:textId="77777777" w:rsidR="00A60164" w:rsidRDefault="00414275">
            <w:r>
              <w:rPr>
                <w:rFonts w:ascii="Arial" w:eastAsia="Arial" w:hAnsi="Arial" w:cs="Arial"/>
                <w:color w:val="111111"/>
              </w:rPr>
              <w:t>CIS Controls v8</w:t>
            </w:r>
          </w:p>
        </w:tc>
        <w:tc>
          <w:tcPr>
            <w:tcW w:w="0" w:type="auto"/>
            <w:shd w:val="clear" w:color="auto" w:fill="F9FAFB"/>
          </w:tcPr>
          <w:p w14:paraId="136B28FB" w14:textId="77777777" w:rsidR="00A60164" w:rsidRDefault="00414275">
            <w:r>
              <w:rPr>
                <w:rFonts w:ascii="Arial" w:eastAsia="Arial" w:hAnsi="Arial" w:cs="Arial"/>
                <w:color w:val="111111"/>
              </w:rPr>
              <w:t>CIS v8</w:t>
            </w:r>
          </w:p>
        </w:tc>
        <w:tc>
          <w:tcPr>
            <w:tcW w:w="0" w:type="auto"/>
            <w:shd w:val="clear" w:color="auto" w:fill="F9FAFB"/>
          </w:tcPr>
          <w:p w14:paraId="110FCEEC" w14:textId="77777777" w:rsidR="00A60164" w:rsidRDefault="00414275">
            <w:r>
              <w:rPr>
                <w:rFonts w:ascii="Arial" w:eastAsia="Arial" w:hAnsi="Arial" w:cs="Arial"/>
                <w:color w:val="111111"/>
              </w:rPr>
              <w:t>Center for Internet Security's 18 prioritised controls for defending against the most common cyber attacks</w:t>
            </w:r>
          </w:p>
        </w:tc>
      </w:tr>
      <w:tr w:rsidR="00A60164" w14:paraId="3413ABA0" w14:textId="77777777">
        <w:tblPrEx>
          <w:tblCellMar>
            <w:top w:w="0" w:type="dxa"/>
            <w:bottom w:w="0" w:type="dxa"/>
          </w:tblCellMar>
        </w:tblPrEx>
        <w:tc>
          <w:tcPr>
            <w:tcW w:w="0" w:type="auto"/>
          </w:tcPr>
          <w:p w14:paraId="618FA8C7" w14:textId="77777777" w:rsidR="00A60164" w:rsidRDefault="00414275">
            <w:r>
              <w:rPr>
                <w:rFonts w:ascii="Arial" w:eastAsia="Arial" w:hAnsi="Arial" w:cs="Arial"/>
                <w:color w:val="111111"/>
              </w:rPr>
              <w:t>CMMC 2.0</w:t>
            </w:r>
          </w:p>
        </w:tc>
        <w:tc>
          <w:tcPr>
            <w:tcW w:w="0" w:type="auto"/>
          </w:tcPr>
          <w:p w14:paraId="5F4AC48A" w14:textId="77777777" w:rsidR="00A60164" w:rsidRDefault="00414275">
            <w:r>
              <w:rPr>
                <w:rFonts w:ascii="Arial" w:eastAsia="Arial" w:hAnsi="Arial" w:cs="Arial"/>
                <w:color w:val="111111"/>
              </w:rPr>
              <w:t>CMMC 2.0</w:t>
            </w:r>
          </w:p>
        </w:tc>
        <w:tc>
          <w:tcPr>
            <w:tcW w:w="0" w:type="auto"/>
          </w:tcPr>
          <w:p w14:paraId="5262D1B3" w14:textId="77777777" w:rsidR="00A60164" w:rsidRDefault="00414275">
            <w:r>
              <w:rPr>
                <w:rFonts w:ascii="Arial" w:eastAsia="Arial" w:hAnsi="Arial" w:cs="Arial"/>
                <w:color w:val="111111"/>
              </w:rPr>
              <w:t xml:space="preserve">Cybersecurity Maturity Model Certification for US Department of </w:t>
            </w:r>
            <w:proofErr w:type="spellStart"/>
            <w:r>
              <w:rPr>
                <w:rFonts w:ascii="Arial" w:eastAsia="Arial" w:hAnsi="Arial" w:cs="Arial"/>
                <w:color w:val="111111"/>
              </w:rPr>
              <w:t>Defense</w:t>
            </w:r>
            <w:proofErr w:type="spellEnd"/>
            <w:r>
              <w:rPr>
                <w:rFonts w:ascii="Arial" w:eastAsia="Arial" w:hAnsi="Arial" w:cs="Arial"/>
                <w:color w:val="111111"/>
              </w:rPr>
              <w:t xml:space="preserve"> contractors, three levels</w:t>
            </w:r>
          </w:p>
        </w:tc>
      </w:tr>
      <w:tr w:rsidR="00A60164" w14:paraId="24EA6136" w14:textId="77777777">
        <w:tblPrEx>
          <w:tblCellMar>
            <w:top w:w="0" w:type="dxa"/>
            <w:bottom w:w="0" w:type="dxa"/>
          </w:tblCellMar>
        </w:tblPrEx>
        <w:tc>
          <w:tcPr>
            <w:tcW w:w="0" w:type="auto"/>
            <w:shd w:val="clear" w:color="auto" w:fill="F9FAFB"/>
          </w:tcPr>
          <w:p w14:paraId="71ABECAB" w14:textId="77777777" w:rsidR="00A60164" w:rsidRDefault="00414275">
            <w:r>
              <w:rPr>
                <w:rFonts w:ascii="Arial" w:eastAsia="Arial" w:hAnsi="Arial" w:cs="Arial"/>
                <w:color w:val="111111"/>
              </w:rPr>
              <w:t xml:space="preserve">PCI DSS </w:t>
            </w:r>
            <w:r>
              <w:rPr>
                <w:rFonts w:ascii="Arial" w:eastAsia="Arial" w:hAnsi="Arial" w:cs="Arial"/>
                <w:color w:val="111111"/>
              </w:rPr>
              <w:t>v4.0</w:t>
            </w:r>
          </w:p>
        </w:tc>
        <w:tc>
          <w:tcPr>
            <w:tcW w:w="0" w:type="auto"/>
            <w:shd w:val="clear" w:color="auto" w:fill="F9FAFB"/>
          </w:tcPr>
          <w:p w14:paraId="6BA34A43" w14:textId="77777777" w:rsidR="00A60164" w:rsidRDefault="00414275">
            <w:r>
              <w:rPr>
                <w:rFonts w:ascii="Arial" w:eastAsia="Arial" w:hAnsi="Arial" w:cs="Arial"/>
                <w:color w:val="111111"/>
              </w:rPr>
              <w:t>PCI DSS</w:t>
            </w:r>
          </w:p>
        </w:tc>
        <w:tc>
          <w:tcPr>
            <w:tcW w:w="0" w:type="auto"/>
            <w:shd w:val="clear" w:color="auto" w:fill="F9FAFB"/>
          </w:tcPr>
          <w:p w14:paraId="7264ED24" w14:textId="77777777" w:rsidR="00A60164" w:rsidRDefault="00414275">
            <w:r>
              <w:rPr>
                <w:rFonts w:ascii="Arial" w:eastAsia="Arial" w:hAnsi="Arial" w:cs="Arial"/>
                <w:color w:val="111111"/>
              </w:rPr>
              <w:t>Payment Card Industry Data Security Standard for organisations handling cardholder data</w:t>
            </w:r>
          </w:p>
        </w:tc>
      </w:tr>
      <w:tr w:rsidR="00A60164" w14:paraId="411A4496" w14:textId="77777777">
        <w:tblPrEx>
          <w:tblCellMar>
            <w:top w:w="0" w:type="dxa"/>
            <w:bottom w:w="0" w:type="dxa"/>
          </w:tblCellMar>
        </w:tblPrEx>
        <w:tc>
          <w:tcPr>
            <w:tcW w:w="0" w:type="auto"/>
          </w:tcPr>
          <w:p w14:paraId="4EA01415" w14:textId="77777777" w:rsidR="00A60164" w:rsidRDefault="00414275">
            <w:r>
              <w:rPr>
                <w:rFonts w:ascii="Arial" w:eastAsia="Arial" w:hAnsi="Arial" w:cs="Arial"/>
                <w:color w:val="111111"/>
              </w:rPr>
              <w:t>HIPAA Security Rule</w:t>
            </w:r>
          </w:p>
        </w:tc>
        <w:tc>
          <w:tcPr>
            <w:tcW w:w="0" w:type="auto"/>
          </w:tcPr>
          <w:p w14:paraId="6E2F3DB2" w14:textId="77777777" w:rsidR="00A60164" w:rsidRDefault="00414275">
            <w:r>
              <w:rPr>
                <w:rFonts w:ascii="Arial" w:eastAsia="Arial" w:hAnsi="Arial" w:cs="Arial"/>
                <w:color w:val="111111"/>
              </w:rPr>
              <w:t>HIPAA</w:t>
            </w:r>
          </w:p>
        </w:tc>
        <w:tc>
          <w:tcPr>
            <w:tcW w:w="0" w:type="auto"/>
          </w:tcPr>
          <w:p w14:paraId="255ECE3A" w14:textId="77777777" w:rsidR="00A60164" w:rsidRDefault="00414275">
            <w:r>
              <w:rPr>
                <w:rFonts w:ascii="Arial" w:eastAsia="Arial" w:hAnsi="Arial" w:cs="Arial"/>
                <w:color w:val="111111"/>
              </w:rPr>
              <w:t>US Health Insurance Portability and Accountability Act security requirements for protected health information</w:t>
            </w:r>
          </w:p>
        </w:tc>
      </w:tr>
      <w:tr w:rsidR="00A60164" w14:paraId="03FD2A98" w14:textId="77777777">
        <w:tblPrEx>
          <w:tblCellMar>
            <w:top w:w="0" w:type="dxa"/>
            <w:bottom w:w="0" w:type="dxa"/>
          </w:tblCellMar>
        </w:tblPrEx>
        <w:tc>
          <w:tcPr>
            <w:tcW w:w="0" w:type="auto"/>
            <w:shd w:val="clear" w:color="auto" w:fill="F9FAFB"/>
          </w:tcPr>
          <w:p w14:paraId="27C60D34" w14:textId="77777777" w:rsidR="00A60164" w:rsidRDefault="00414275">
            <w:r>
              <w:rPr>
                <w:rFonts w:ascii="Arial" w:eastAsia="Arial" w:hAnsi="Arial" w:cs="Arial"/>
                <w:color w:val="111111"/>
              </w:rPr>
              <w:t>GDPR</w:t>
            </w:r>
          </w:p>
        </w:tc>
        <w:tc>
          <w:tcPr>
            <w:tcW w:w="0" w:type="auto"/>
            <w:shd w:val="clear" w:color="auto" w:fill="F9FAFB"/>
          </w:tcPr>
          <w:p w14:paraId="73F54E24" w14:textId="77777777" w:rsidR="00A60164" w:rsidRDefault="00414275">
            <w:r>
              <w:rPr>
                <w:rFonts w:ascii="Arial" w:eastAsia="Arial" w:hAnsi="Arial" w:cs="Arial"/>
                <w:color w:val="111111"/>
              </w:rPr>
              <w:t>GDPR</w:t>
            </w:r>
          </w:p>
        </w:tc>
        <w:tc>
          <w:tcPr>
            <w:tcW w:w="0" w:type="auto"/>
            <w:shd w:val="clear" w:color="auto" w:fill="F9FAFB"/>
          </w:tcPr>
          <w:p w14:paraId="24C3BB82" w14:textId="77777777" w:rsidR="00A60164" w:rsidRDefault="00414275">
            <w:r>
              <w:rPr>
                <w:rFonts w:ascii="Arial" w:eastAsia="Arial" w:hAnsi="Arial" w:cs="Arial"/>
                <w:color w:val="111111"/>
              </w:rPr>
              <w:t>EU General Data Protection Regulation requirements for personal data processing and protection</w:t>
            </w:r>
          </w:p>
        </w:tc>
      </w:tr>
      <w:tr w:rsidR="00A60164" w14:paraId="1D7DAE1F" w14:textId="77777777">
        <w:tblPrEx>
          <w:tblCellMar>
            <w:top w:w="0" w:type="dxa"/>
            <w:bottom w:w="0" w:type="dxa"/>
          </w:tblCellMar>
        </w:tblPrEx>
        <w:tc>
          <w:tcPr>
            <w:tcW w:w="0" w:type="auto"/>
          </w:tcPr>
          <w:p w14:paraId="2257BDD2" w14:textId="77777777" w:rsidR="00A60164" w:rsidRDefault="00414275">
            <w:r>
              <w:rPr>
                <w:rFonts w:ascii="Arial" w:eastAsia="Arial" w:hAnsi="Arial" w:cs="Arial"/>
                <w:color w:val="111111"/>
              </w:rPr>
              <w:t>NIST SP 800-53</w:t>
            </w:r>
          </w:p>
        </w:tc>
        <w:tc>
          <w:tcPr>
            <w:tcW w:w="0" w:type="auto"/>
          </w:tcPr>
          <w:p w14:paraId="1B19E866" w14:textId="77777777" w:rsidR="00A60164" w:rsidRDefault="00414275">
            <w:r>
              <w:rPr>
                <w:rFonts w:ascii="Arial" w:eastAsia="Arial" w:hAnsi="Arial" w:cs="Arial"/>
                <w:color w:val="111111"/>
              </w:rPr>
              <w:t>NIST 800-53</w:t>
            </w:r>
          </w:p>
        </w:tc>
        <w:tc>
          <w:tcPr>
            <w:tcW w:w="0" w:type="auto"/>
          </w:tcPr>
          <w:p w14:paraId="4BF552FE" w14:textId="77777777" w:rsidR="00A60164" w:rsidRDefault="00414275">
            <w:r>
              <w:rPr>
                <w:rFonts w:ascii="Arial" w:eastAsia="Arial" w:hAnsi="Arial" w:cs="Arial"/>
                <w:color w:val="111111"/>
              </w:rPr>
              <w:t>US NIST security and privacy controls for federal information systems, applicable to any high-assurance environment</w:t>
            </w:r>
          </w:p>
        </w:tc>
      </w:tr>
      <w:tr w:rsidR="00A60164" w14:paraId="7F4B97B9" w14:textId="77777777">
        <w:tblPrEx>
          <w:tblCellMar>
            <w:top w:w="0" w:type="dxa"/>
            <w:bottom w:w="0" w:type="dxa"/>
          </w:tblCellMar>
        </w:tblPrEx>
        <w:tc>
          <w:tcPr>
            <w:tcW w:w="0" w:type="auto"/>
            <w:shd w:val="clear" w:color="auto" w:fill="F9FAFB"/>
          </w:tcPr>
          <w:p w14:paraId="798D988D" w14:textId="77777777" w:rsidR="00A60164" w:rsidRDefault="00414275">
            <w:r>
              <w:rPr>
                <w:rFonts w:ascii="Arial" w:eastAsia="Arial" w:hAnsi="Arial" w:cs="Arial"/>
                <w:color w:val="111111"/>
              </w:rPr>
              <w:t>NIST SP 800-171</w:t>
            </w:r>
          </w:p>
        </w:tc>
        <w:tc>
          <w:tcPr>
            <w:tcW w:w="0" w:type="auto"/>
            <w:shd w:val="clear" w:color="auto" w:fill="F9FAFB"/>
          </w:tcPr>
          <w:p w14:paraId="48224964" w14:textId="77777777" w:rsidR="00A60164" w:rsidRDefault="00414275">
            <w:r>
              <w:rPr>
                <w:rFonts w:ascii="Arial" w:eastAsia="Arial" w:hAnsi="Arial" w:cs="Arial"/>
                <w:color w:val="111111"/>
              </w:rPr>
              <w:t>NIST 800-171</w:t>
            </w:r>
          </w:p>
        </w:tc>
        <w:tc>
          <w:tcPr>
            <w:tcW w:w="0" w:type="auto"/>
            <w:shd w:val="clear" w:color="auto" w:fill="F9FAFB"/>
          </w:tcPr>
          <w:p w14:paraId="66665805" w14:textId="77777777" w:rsidR="00A60164" w:rsidRDefault="00414275">
            <w:r>
              <w:rPr>
                <w:rFonts w:ascii="Arial" w:eastAsia="Arial" w:hAnsi="Arial" w:cs="Arial"/>
                <w:color w:val="111111"/>
              </w:rPr>
              <w:t>US NIST requirements for protecting Controlled Unclassified Information in non-federal systems</w:t>
            </w:r>
          </w:p>
        </w:tc>
      </w:tr>
    </w:tbl>
    <w:p w14:paraId="1208813B" w14:textId="77777777" w:rsidR="00A60164" w:rsidRDefault="00414275">
      <w:pPr>
        <w:pStyle w:val="Heading2"/>
        <w:spacing w:before="300" w:after="160"/>
      </w:pPr>
      <w:r>
        <w:rPr>
          <w:rFonts w:ascii="Arial" w:eastAsia="Arial" w:hAnsi="Arial" w:cs="Arial"/>
          <w:b/>
          <w:bCs/>
          <w:color w:val="2A7D6B"/>
          <w:sz w:val="32"/>
          <w:szCs w:val="32"/>
        </w:rPr>
        <w:t>How Coverage I</w:t>
      </w:r>
      <w:r>
        <w:rPr>
          <w:rFonts w:ascii="Arial" w:eastAsia="Arial" w:hAnsi="Arial" w:cs="Arial"/>
          <w:b/>
          <w:bCs/>
          <w:color w:val="2A7D6B"/>
          <w:sz w:val="32"/>
          <w:szCs w:val="32"/>
        </w:rPr>
        <w:t>s Calculated</w:t>
      </w:r>
    </w:p>
    <w:p w14:paraId="6B5272FF" w14:textId="77777777" w:rsidR="00A60164" w:rsidRDefault="00414275">
      <w:pPr>
        <w:spacing w:after="160" w:line="276" w:lineRule="auto"/>
      </w:pPr>
      <w:r>
        <w:rPr>
          <w:rFonts w:ascii="Arial" w:eastAsia="Arial" w:hAnsi="Arial" w:cs="Arial"/>
          <w:color w:val="111111"/>
          <w:sz w:val="22"/>
          <w:szCs w:val="22"/>
        </w:rPr>
        <w:t>Coverage is based on which library answers and Gap Assessment questions have been tagged with a given framework. When you answer Yes or Partial to a gap question tagged with a framework, or when you use an Answer Library entry tagged with that framework, c</w:t>
      </w:r>
      <w:r>
        <w:rPr>
          <w:rFonts w:ascii="Arial" w:eastAsia="Arial" w:hAnsi="Arial" w:cs="Arial"/>
          <w:color w:val="111111"/>
          <w:sz w:val="22"/>
          <w:szCs w:val="22"/>
        </w:rPr>
        <w:t>overage for those controls increases.</w:t>
      </w:r>
    </w:p>
    <w:p w14:paraId="5512942D" w14:textId="77777777" w:rsidR="00A60164" w:rsidRDefault="00414275">
      <w:pPr>
        <w:spacing w:after="160" w:line="276" w:lineRule="auto"/>
      </w:pPr>
      <w:r>
        <w:rPr>
          <w:rFonts w:ascii="Arial" w:eastAsia="Arial" w:hAnsi="Arial" w:cs="Arial"/>
          <w:color w:val="111111"/>
          <w:sz w:val="22"/>
          <w:szCs w:val="22"/>
        </w:rPr>
        <w:t>The percentage shown is an indicative measure of how many controls within that framework you have addressed in the tool, not a formal compliance certification. A third-party audit is required for formal certification.</w:t>
      </w:r>
    </w:p>
    <w:p w14:paraId="44CB5FC9" w14:textId="77777777" w:rsidR="00A60164" w:rsidRDefault="00414275">
      <w:pPr>
        <w:pStyle w:val="Heading2"/>
        <w:spacing w:before="300" w:after="160"/>
      </w:pPr>
      <w:r>
        <w:rPr>
          <w:rFonts w:ascii="Arial" w:eastAsia="Arial" w:hAnsi="Arial" w:cs="Arial"/>
          <w:b/>
          <w:bCs/>
          <w:color w:val="2A7D6B"/>
          <w:sz w:val="32"/>
          <w:szCs w:val="32"/>
        </w:rPr>
        <w:t>Using Profiles to Find Gaps</w:t>
      </w:r>
    </w:p>
    <w:p w14:paraId="61933950" w14:textId="63D4949E" w:rsidR="00A60164" w:rsidRDefault="00414275" w:rsidP="001B2934">
      <w:pPr>
        <w:spacing w:after="160" w:line="276" w:lineRule="auto"/>
      </w:pPr>
      <w:r>
        <w:rPr>
          <w:rFonts w:ascii="Arial" w:eastAsia="Arial" w:hAnsi="Arial" w:cs="Arial"/>
          <w:color w:val="111111"/>
          <w:sz w:val="22"/>
          <w:szCs w:val="22"/>
        </w:rPr>
        <w:t xml:space="preserve">Select a framework from the profile list to see a detailed view of which control areas are covered and which are not. Use this view when preparing for a specific audit or when a potential customer has asked about your alignment </w:t>
      </w:r>
      <w:r>
        <w:rPr>
          <w:rFonts w:ascii="Arial" w:eastAsia="Arial" w:hAnsi="Arial" w:cs="Arial"/>
          <w:color w:val="111111"/>
          <w:sz w:val="22"/>
          <w:szCs w:val="22"/>
        </w:rPr>
        <w:t>with a particular standard. Navigate from the low-coverage areas directly to the relevant Answer Library category to find appropriate responses.</w:t>
      </w:r>
    </w:p>
    <w:p w14:paraId="680A9245" w14:textId="77777777" w:rsidR="00A60164" w:rsidRDefault="00414275">
      <w:pPr>
        <w:pStyle w:val="Heading1"/>
        <w:spacing w:before="400" w:after="200"/>
      </w:pPr>
      <w:r>
        <w:rPr>
          <w:rFonts w:ascii="Arial" w:eastAsia="Arial" w:hAnsi="Arial" w:cs="Arial"/>
          <w:b/>
          <w:bCs/>
          <w:color w:val="0F2B3D"/>
          <w:sz w:val="48"/>
          <w:szCs w:val="48"/>
        </w:rPr>
        <w:t>Chapter 11: Trust Center Builder</w:t>
      </w:r>
    </w:p>
    <w:p w14:paraId="789A4398" w14:textId="77777777" w:rsidR="00A60164" w:rsidRDefault="00414275">
      <w:pPr>
        <w:pStyle w:val="Heading2"/>
        <w:spacing w:before="300" w:after="160"/>
      </w:pPr>
      <w:r>
        <w:rPr>
          <w:rFonts w:ascii="Arial" w:eastAsia="Arial" w:hAnsi="Arial" w:cs="Arial"/>
          <w:b/>
          <w:bCs/>
          <w:color w:val="2A7D6B"/>
          <w:sz w:val="32"/>
          <w:szCs w:val="32"/>
        </w:rPr>
        <w:t>What Is a Trust Center</w:t>
      </w:r>
    </w:p>
    <w:p w14:paraId="512018F3" w14:textId="77777777" w:rsidR="00A60164" w:rsidRDefault="00414275">
      <w:pPr>
        <w:spacing w:after="160" w:line="276" w:lineRule="auto"/>
      </w:pPr>
      <w:r>
        <w:rPr>
          <w:rFonts w:ascii="Arial" w:eastAsia="Arial" w:hAnsi="Arial" w:cs="Arial"/>
          <w:color w:val="111111"/>
          <w:sz w:val="22"/>
          <w:szCs w:val="22"/>
        </w:rPr>
        <w:lastRenderedPageBreak/>
        <w:t xml:space="preserve">A Trust Center is a publicly accessible page on your </w:t>
      </w:r>
      <w:r>
        <w:rPr>
          <w:rFonts w:ascii="Arial" w:eastAsia="Arial" w:hAnsi="Arial" w:cs="Arial"/>
          <w:color w:val="111111"/>
          <w:sz w:val="22"/>
          <w:szCs w:val="22"/>
        </w:rPr>
        <w:t>website that answers common security questions proactively. Rather than responding to the same questionnaire questions repeatedly, you document your security posture once and direct prospects and customers to it. This speeds up sales cycles and builds buye</w:t>
      </w:r>
      <w:r>
        <w:rPr>
          <w:rFonts w:ascii="Arial" w:eastAsia="Arial" w:hAnsi="Arial" w:cs="Arial"/>
          <w:color w:val="111111"/>
          <w:sz w:val="22"/>
          <w:szCs w:val="22"/>
        </w:rPr>
        <w:t>r confidence.</w:t>
      </w:r>
    </w:p>
    <w:p w14:paraId="576A107F" w14:textId="77777777" w:rsidR="00A60164" w:rsidRDefault="00414275">
      <w:pPr>
        <w:spacing w:after="160" w:line="276" w:lineRule="auto"/>
        <w:ind w:left="720"/>
      </w:pPr>
      <w:r>
        <w:rPr>
          <w:rFonts w:ascii="Arial" w:eastAsia="Arial" w:hAnsi="Arial" w:cs="Arial"/>
          <w:i/>
          <w:iCs/>
          <w:color w:val="6B7280"/>
        </w:rPr>
        <w:t>The Trust Center builder is a Professional-only feature. Community tier users will see a feature upgrade prompt when they open this page.</w:t>
      </w:r>
    </w:p>
    <w:p w14:paraId="1B07B965" w14:textId="77777777" w:rsidR="00A60164" w:rsidRDefault="00414275">
      <w:pPr>
        <w:pStyle w:val="Heading2"/>
        <w:spacing w:before="300" w:after="160"/>
      </w:pPr>
      <w:r>
        <w:rPr>
          <w:rFonts w:ascii="Arial" w:eastAsia="Arial" w:hAnsi="Arial" w:cs="Arial"/>
          <w:b/>
          <w:bCs/>
          <w:color w:val="2A7D6B"/>
          <w:sz w:val="32"/>
          <w:szCs w:val="32"/>
        </w:rPr>
        <w:t>The Six-Step Wizard</w:t>
      </w:r>
    </w:p>
    <w:p w14:paraId="126028B1" w14:textId="77777777" w:rsidR="00A60164" w:rsidRDefault="00414275">
      <w:pPr>
        <w:spacing w:after="160" w:line="276" w:lineRule="auto"/>
      </w:pPr>
      <w:r>
        <w:rPr>
          <w:rFonts w:ascii="Arial" w:eastAsia="Arial" w:hAnsi="Arial" w:cs="Arial"/>
          <w:color w:val="111111"/>
          <w:sz w:val="22"/>
          <w:szCs w:val="22"/>
        </w:rPr>
        <w:t>The Trust Center is built using a six-step wizard. A stepper bar at the top shows which step you are on and which steps you have visited. You can navigate freely between steps you have already visited.</w:t>
      </w:r>
    </w:p>
    <w:p w14:paraId="0E05CF58" w14:textId="77777777" w:rsidR="00A60164" w:rsidRDefault="00414275">
      <w:pPr>
        <w:pStyle w:val="Heading3"/>
        <w:spacing w:before="240" w:after="120"/>
      </w:pPr>
      <w:r>
        <w:rPr>
          <w:rFonts w:ascii="Arial" w:eastAsia="Arial" w:hAnsi="Arial" w:cs="Arial"/>
          <w:b/>
          <w:bCs/>
          <w:color w:val="333333"/>
          <w:sz w:val="26"/>
          <w:szCs w:val="26"/>
        </w:rPr>
        <w:t>Step 1: Frameworks</w:t>
      </w:r>
    </w:p>
    <w:p w14:paraId="0FF0098F" w14:textId="77777777" w:rsidR="00A60164" w:rsidRDefault="00414275">
      <w:pPr>
        <w:spacing w:after="160" w:line="276" w:lineRule="auto"/>
      </w:pPr>
      <w:r>
        <w:rPr>
          <w:rFonts w:ascii="Arial" w:eastAsia="Arial" w:hAnsi="Arial" w:cs="Arial"/>
          <w:color w:val="111111"/>
          <w:sz w:val="22"/>
          <w:szCs w:val="22"/>
        </w:rPr>
        <w:t>Select the compliance frameworks an</w:t>
      </w:r>
      <w:r>
        <w:rPr>
          <w:rFonts w:ascii="Arial" w:eastAsia="Arial" w:hAnsi="Arial" w:cs="Arial"/>
          <w:color w:val="111111"/>
          <w:sz w:val="22"/>
          <w:szCs w:val="22"/>
        </w:rPr>
        <w:t>d standards your organisation is aligned to or certified against. Items are grouped into categories such as Foundational, Privacy, Financial Services, Public Sector, Industry Specific, AI Governance, and Resilience &amp; Regional. For each item you select, you</w:t>
      </w:r>
      <w:r>
        <w:rPr>
          <w:rFonts w:ascii="Arial" w:eastAsia="Arial" w:hAnsi="Arial" w:cs="Arial"/>
          <w:color w:val="111111"/>
          <w:sz w:val="22"/>
          <w:szCs w:val="22"/>
        </w:rPr>
        <w:t xml:space="preserve"> also specify the status: Aligned, Certified, In Progress, or Planned.</w:t>
      </w:r>
    </w:p>
    <w:p w14:paraId="06AB7B55" w14:textId="77777777" w:rsidR="00A60164" w:rsidRDefault="00414275">
      <w:pPr>
        <w:spacing w:after="160" w:line="276" w:lineRule="auto"/>
      </w:pPr>
      <w:r>
        <w:rPr>
          <w:rFonts w:ascii="Arial" w:eastAsia="Arial" w:hAnsi="Arial" w:cs="Arial"/>
          <w:color w:val="111111"/>
          <w:sz w:val="22"/>
          <w:szCs w:val="22"/>
        </w:rPr>
        <w:t xml:space="preserve">Industry </w:t>
      </w:r>
      <w:proofErr w:type="spellStart"/>
      <w:r>
        <w:rPr>
          <w:rFonts w:ascii="Arial" w:eastAsia="Arial" w:hAnsi="Arial" w:cs="Arial"/>
          <w:color w:val="111111"/>
          <w:sz w:val="22"/>
          <w:szCs w:val="22"/>
        </w:rPr>
        <w:t>presets</w:t>
      </w:r>
      <w:proofErr w:type="spellEnd"/>
      <w:r>
        <w:rPr>
          <w:rFonts w:ascii="Arial" w:eastAsia="Arial" w:hAnsi="Arial" w:cs="Arial"/>
          <w:color w:val="111111"/>
          <w:sz w:val="22"/>
          <w:szCs w:val="22"/>
        </w:rPr>
        <w:t xml:space="preserve"> are available at the top of this step: SaaS / Technology, Financial Services, Healthcare, Government / Defence, Professional Services, and General / Other. Applying a </w:t>
      </w:r>
      <w:proofErr w:type="spellStart"/>
      <w:r>
        <w:rPr>
          <w:rFonts w:ascii="Arial" w:eastAsia="Arial" w:hAnsi="Arial" w:cs="Arial"/>
          <w:color w:val="111111"/>
          <w:sz w:val="22"/>
          <w:szCs w:val="22"/>
        </w:rPr>
        <w:t>p</w:t>
      </w:r>
      <w:r>
        <w:rPr>
          <w:rFonts w:ascii="Arial" w:eastAsia="Arial" w:hAnsi="Arial" w:cs="Arial"/>
          <w:color w:val="111111"/>
          <w:sz w:val="22"/>
          <w:szCs w:val="22"/>
        </w:rPr>
        <w:t>reset</w:t>
      </w:r>
      <w:proofErr w:type="spellEnd"/>
      <w:r>
        <w:rPr>
          <w:rFonts w:ascii="Arial" w:eastAsia="Arial" w:hAnsi="Arial" w:cs="Arial"/>
          <w:color w:val="111111"/>
          <w:sz w:val="22"/>
          <w:szCs w:val="22"/>
        </w:rPr>
        <w:t xml:space="preserve"> automatically checks the frameworks most relevant to your industry.</w:t>
      </w:r>
    </w:p>
    <w:p w14:paraId="7BA7312F" w14:textId="77777777" w:rsidR="00A60164" w:rsidRDefault="00414275">
      <w:pPr>
        <w:pStyle w:val="Heading3"/>
        <w:spacing w:before="240" w:after="120"/>
      </w:pPr>
      <w:r>
        <w:rPr>
          <w:rFonts w:ascii="Arial" w:eastAsia="Arial" w:hAnsi="Arial" w:cs="Arial"/>
          <w:b/>
          <w:bCs/>
          <w:color w:val="333333"/>
          <w:sz w:val="26"/>
          <w:szCs w:val="26"/>
        </w:rPr>
        <w:t>Step 2: Domains</w:t>
      </w:r>
    </w:p>
    <w:p w14:paraId="5816D8F3" w14:textId="77777777" w:rsidR="00A60164" w:rsidRDefault="00414275">
      <w:pPr>
        <w:spacing w:after="160" w:line="276" w:lineRule="auto"/>
      </w:pPr>
      <w:r>
        <w:rPr>
          <w:rFonts w:ascii="Arial" w:eastAsia="Arial" w:hAnsi="Arial" w:cs="Arial"/>
          <w:color w:val="111111"/>
          <w:sz w:val="22"/>
          <w:szCs w:val="22"/>
        </w:rPr>
        <w:t xml:space="preserve">Select the security domains covered by your programme. Domains are grouped across six areas covering endpoint security, cloud security, network security, application </w:t>
      </w:r>
      <w:r>
        <w:rPr>
          <w:rFonts w:ascii="Arial" w:eastAsia="Arial" w:hAnsi="Arial" w:cs="Arial"/>
          <w:color w:val="111111"/>
          <w:sz w:val="22"/>
          <w:szCs w:val="22"/>
        </w:rPr>
        <w:t>security, data protection, and operational security topics. Check each domain that applies to your organisation.</w:t>
      </w:r>
    </w:p>
    <w:p w14:paraId="7F8DCC4C" w14:textId="77777777" w:rsidR="00A60164" w:rsidRDefault="00414275">
      <w:pPr>
        <w:pStyle w:val="Heading3"/>
        <w:spacing w:before="240" w:after="120"/>
      </w:pPr>
      <w:r>
        <w:rPr>
          <w:rFonts w:ascii="Arial" w:eastAsia="Arial" w:hAnsi="Arial" w:cs="Arial"/>
          <w:b/>
          <w:bCs/>
          <w:color w:val="333333"/>
          <w:sz w:val="26"/>
          <w:szCs w:val="26"/>
        </w:rPr>
        <w:t>Step 3: Policies</w:t>
      </w:r>
    </w:p>
    <w:p w14:paraId="7DE380A2" w14:textId="77777777" w:rsidR="00A60164" w:rsidRDefault="00414275">
      <w:pPr>
        <w:spacing w:after="160" w:line="276" w:lineRule="auto"/>
      </w:pPr>
      <w:r>
        <w:rPr>
          <w:rFonts w:ascii="Arial" w:eastAsia="Arial" w:hAnsi="Arial" w:cs="Arial"/>
          <w:color w:val="111111"/>
          <w:sz w:val="22"/>
          <w:szCs w:val="22"/>
        </w:rPr>
        <w:t>Select the policy areas you want to advertise. The policy list is grouped into seven groups. Any policies you have marked as A</w:t>
      </w:r>
      <w:r>
        <w:rPr>
          <w:rFonts w:ascii="Arial" w:eastAsia="Arial" w:hAnsi="Arial" w:cs="Arial"/>
          <w:color w:val="111111"/>
          <w:sz w:val="22"/>
          <w:szCs w:val="22"/>
        </w:rPr>
        <w:t>pproved in the Policy Register appear in an additional group called Policy Register and are automatically checked. This integration means your Trust Center always reflects your current policy status.</w:t>
      </w:r>
    </w:p>
    <w:p w14:paraId="1BCABEF7" w14:textId="77777777" w:rsidR="00A60164" w:rsidRDefault="00414275">
      <w:pPr>
        <w:pStyle w:val="Heading3"/>
        <w:spacing w:before="240" w:after="120"/>
      </w:pPr>
      <w:r>
        <w:rPr>
          <w:rFonts w:ascii="Arial" w:eastAsia="Arial" w:hAnsi="Arial" w:cs="Arial"/>
          <w:b/>
          <w:bCs/>
          <w:color w:val="333333"/>
          <w:sz w:val="26"/>
          <w:szCs w:val="26"/>
        </w:rPr>
        <w:t>Step 4: Common Questions</w:t>
      </w:r>
    </w:p>
    <w:p w14:paraId="4C0CC3CD" w14:textId="77777777" w:rsidR="00A60164" w:rsidRDefault="00414275">
      <w:pPr>
        <w:spacing w:after="160" w:line="276" w:lineRule="auto"/>
      </w:pPr>
      <w:r>
        <w:rPr>
          <w:rFonts w:ascii="Arial" w:eastAsia="Arial" w:hAnsi="Arial" w:cs="Arial"/>
          <w:color w:val="111111"/>
          <w:sz w:val="22"/>
          <w:szCs w:val="22"/>
        </w:rPr>
        <w:t>Select from a library of ~33 fr</w:t>
      </w:r>
      <w:r>
        <w:rPr>
          <w:rFonts w:ascii="Arial" w:eastAsia="Arial" w:hAnsi="Arial" w:cs="Arial"/>
          <w:color w:val="111111"/>
          <w:sz w:val="22"/>
          <w:szCs w:val="22"/>
        </w:rPr>
        <w:t>equently asked security questions across nine categories. For each selected question, enter your answer in the text field provided. These answers appear verbatim on your exported Trust Center page, so write them as you would want a prospect to read them.</w:t>
      </w:r>
    </w:p>
    <w:p w14:paraId="20C0608C" w14:textId="77777777" w:rsidR="00A60164" w:rsidRDefault="00414275">
      <w:pPr>
        <w:pStyle w:val="Heading3"/>
        <w:spacing w:before="240" w:after="120"/>
      </w:pPr>
      <w:r>
        <w:rPr>
          <w:rFonts w:ascii="Arial" w:eastAsia="Arial" w:hAnsi="Arial" w:cs="Arial"/>
          <w:b/>
          <w:bCs/>
          <w:color w:val="333333"/>
          <w:sz w:val="26"/>
          <w:szCs w:val="26"/>
        </w:rPr>
        <w:t>S</w:t>
      </w:r>
      <w:r>
        <w:rPr>
          <w:rFonts w:ascii="Arial" w:eastAsia="Arial" w:hAnsi="Arial" w:cs="Arial"/>
          <w:b/>
          <w:bCs/>
          <w:color w:val="333333"/>
          <w:sz w:val="26"/>
          <w:szCs w:val="26"/>
        </w:rPr>
        <w:t>tep 5: Branding</w:t>
      </w:r>
    </w:p>
    <w:p w14:paraId="0F44A2DE" w14:textId="77777777" w:rsidR="00A60164" w:rsidRDefault="00414275">
      <w:pPr>
        <w:spacing w:after="160" w:line="276" w:lineRule="auto"/>
      </w:pPr>
      <w:r>
        <w:rPr>
          <w:rFonts w:ascii="Arial" w:eastAsia="Arial" w:hAnsi="Arial" w:cs="Arial"/>
          <w:color w:val="111111"/>
          <w:sz w:val="22"/>
          <w:szCs w:val="22"/>
        </w:rPr>
        <w:t>Configure the visual appearance of your exported Trust Center page:</w:t>
      </w:r>
    </w:p>
    <w:p w14:paraId="5728E77A"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Primary colour — the main brand colour for headings and accents (default: Ridgeguard navy).</w:t>
      </w:r>
    </w:p>
    <w:p w14:paraId="57452270"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Accent colour — a secondary accent colour (default: Ridgeguard copper).</w:t>
      </w:r>
    </w:p>
    <w:p w14:paraId="12470AD7"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lastRenderedPageBreak/>
        <w:t>Privacy policy URL — a link to your privacy policy page that will appear in the footer.</w:t>
      </w:r>
    </w:p>
    <w:p w14:paraId="4A77A003" w14:textId="77777777" w:rsidR="00A60164" w:rsidRDefault="00414275">
      <w:pPr>
        <w:pStyle w:val="Heading3"/>
        <w:spacing w:before="240" w:after="120"/>
      </w:pPr>
      <w:r>
        <w:rPr>
          <w:rFonts w:ascii="Arial" w:eastAsia="Arial" w:hAnsi="Arial" w:cs="Arial"/>
          <w:b/>
          <w:bCs/>
          <w:color w:val="333333"/>
          <w:sz w:val="26"/>
          <w:szCs w:val="26"/>
        </w:rPr>
        <w:t>Step 6: Export</w:t>
      </w:r>
    </w:p>
    <w:p w14:paraId="6A427EFC" w14:textId="77777777" w:rsidR="00A60164" w:rsidRDefault="00414275">
      <w:pPr>
        <w:spacing w:after="160" w:line="276" w:lineRule="auto"/>
      </w:pPr>
      <w:r>
        <w:rPr>
          <w:rFonts w:ascii="Arial" w:eastAsia="Arial" w:hAnsi="Arial" w:cs="Arial"/>
          <w:color w:val="111111"/>
          <w:sz w:val="22"/>
          <w:szCs w:val="22"/>
        </w:rPr>
        <w:t xml:space="preserve">Export your Trust Center as a self-contained HTML file. The file includes all selected frameworks, domains, policies, FAQ answers, and branding. Host it </w:t>
      </w:r>
      <w:r>
        <w:rPr>
          <w:rFonts w:ascii="Arial" w:eastAsia="Arial" w:hAnsi="Arial" w:cs="Arial"/>
          <w:color w:val="111111"/>
          <w:sz w:val="22"/>
          <w:szCs w:val="22"/>
        </w:rPr>
        <w:t>on your web server or CDN, or share it directly as a file. No Ridgeguard branding appears in the output.</w:t>
      </w:r>
    </w:p>
    <w:p w14:paraId="140E78F8" w14:textId="77777777" w:rsidR="00A60164" w:rsidRDefault="00414275">
      <w:pPr>
        <w:pStyle w:val="Heading2"/>
        <w:spacing w:before="300" w:after="160"/>
      </w:pPr>
      <w:r>
        <w:rPr>
          <w:rFonts w:ascii="Arial" w:eastAsia="Arial" w:hAnsi="Arial" w:cs="Arial"/>
          <w:b/>
          <w:bCs/>
          <w:color w:val="2A7D6B"/>
          <w:sz w:val="32"/>
          <w:szCs w:val="32"/>
        </w:rPr>
        <w:t>Progress Tracking</w:t>
      </w:r>
    </w:p>
    <w:p w14:paraId="0A437965" w14:textId="77777777" w:rsidR="00A60164" w:rsidRDefault="00414275">
      <w:pPr>
        <w:spacing w:after="160" w:line="276" w:lineRule="auto"/>
      </w:pPr>
      <w:r>
        <w:rPr>
          <w:rFonts w:ascii="Arial" w:eastAsia="Arial" w:hAnsi="Arial" w:cs="Arial"/>
          <w:color w:val="111111"/>
          <w:sz w:val="22"/>
          <w:szCs w:val="22"/>
        </w:rPr>
        <w:t xml:space="preserve">The step indicators at the top show a checkmark on steps you have visited. The Dashboard KPI card shows Draft when you have selected </w:t>
      </w:r>
      <w:r>
        <w:rPr>
          <w:rFonts w:ascii="Arial" w:eastAsia="Arial" w:hAnsi="Arial" w:cs="Arial"/>
          <w:color w:val="111111"/>
          <w:sz w:val="22"/>
          <w:szCs w:val="22"/>
        </w:rPr>
        <w:t>at least one item, and Ready when you have selected ten or more items across all four content areas (frameworks, domains, policies, and FAQ).</w:t>
      </w:r>
    </w:p>
    <w:p w14:paraId="5994CD1D" w14:textId="77777777" w:rsidR="00A60164" w:rsidRDefault="00414275">
      <w:pPr>
        <w:pStyle w:val="Heading2"/>
        <w:spacing w:before="300" w:after="160"/>
      </w:pPr>
      <w:r>
        <w:rPr>
          <w:rFonts w:ascii="Arial" w:eastAsia="Arial" w:hAnsi="Arial" w:cs="Arial"/>
          <w:b/>
          <w:bCs/>
          <w:color w:val="2A7D6B"/>
          <w:sz w:val="32"/>
          <w:szCs w:val="32"/>
        </w:rPr>
        <w:t>Deploying Your Trust Center</w:t>
      </w:r>
    </w:p>
    <w:p w14:paraId="24E291CB" w14:textId="25B8F07E" w:rsidR="00A60164" w:rsidRDefault="00414275" w:rsidP="001B2934">
      <w:pPr>
        <w:spacing w:after="160" w:line="276" w:lineRule="auto"/>
      </w:pPr>
      <w:r>
        <w:rPr>
          <w:rFonts w:ascii="Arial" w:eastAsia="Arial" w:hAnsi="Arial" w:cs="Arial"/>
          <w:color w:val="111111"/>
          <w:sz w:val="22"/>
          <w:szCs w:val="22"/>
        </w:rPr>
        <w:t>Upload the exported HTML file to your web server. The file is completely self-containe</w:t>
      </w:r>
      <w:r>
        <w:rPr>
          <w:rFonts w:ascii="Arial" w:eastAsia="Arial" w:hAnsi="Arial" w:cs="Arial"/>
          <w:color w:val="111111"/>
          <w:sz w:val="22"/>
          <w:szCs w:val="22"/>
        </w:rPr>
        <w:t>d with all styles embedded — no CDN dependencies or external assets are required. Update it periodically by re-exporting whenever your compliance posture changes.</w:t>
      </w:r>
    </w:p>
    <w:p w14:paraId="22FFF0B7" w14:textId="77777777" w:rsidR="00A60164" w:rsidRDefault="00414275">
      <w:pPr>
        <w:pStyle w:val="Heading1"/>
        <w:spacing w:before="400" w:after="200"/>
      </w:pPr>
      <w:r>
        <w:rPr>
          <w:rFonts w:ascii="Arial" w:eastAsia="Arial" w:hAnsi="Arial" w:cs="Arial"/>
          <w:b/>
          <w:bCs/>
          <w:color w:val="0F2B3D"/>
          <w:sz w:val="48"/>
          <w:szCs w:val="48"/>
        </w:rPr>
        <w:t>Chapter 12: Custom Answers</w:t>
      </w:r>
    </w:p>
    <w:p w14:paraId="4FC25966" w14:textId="77777777" w:rsidR="00A60164" w:rsidRDefault="00414275">
      <w:pPr>
        <w:pStyle w:val="Heading2"/>
        <w:spacing w:before="300" w:after="160"/>
      </w:pPr>
      <w:r>
        <w:rPr>
          <w:rFonts w:ascii="Arial" w:eastAsia="Arial" w:hAnsi="Arial" w:cs="Arial"/>
          <w:b/>
          <w:bCs/>
          <w:color w:val="2A7D6B"/>
          <w:sz w:val="32"/>
          <w:szCs w:val="32"/>
        </w:rPr>
        <w:t>Creating Custom Answers</w:t>
      </w:r>
    </w:p>
    <w:p w14:paraId="6DEC6B61" w14:textId="77777777" w:rsidR="00A60164" w:rsidRDefault="00414275">
      <w:pPr>
        <w:spacing w:after="160" w:line="276" w:lineRule="auto"/>
      </w:pPr>
      <w:r>
        <w:rPr>
          <w:rFonts w:ascii="Arial" w:eastAsia="Arial" w:hAnsi="Arial" w:cs="Arial"/>
          <w:color w:val="111111"/>
          <w:sz w:val="22"/>
          <w:szCs w:val="22"/>
        </w:rPr>
        <w:t>Custom answers extend the built-in libra</w:t>
      </w:r>
      <w:r>
        <w:rPr>
          <w:rFonts w:ascii="Arial" w:eastAsia="Arial" w:hAnsi="Arial" w:cs="Arial"/>
          <w:color w:val="111111"/>
          <w:sz w:val="22"/>
          <w:szCs w:val="22"/>
        </w:rPr>
        <w:t>ry with answers specific to your organisation. They appear alongside the 790 built-in answers in the Answer Library and are used by the Import Questionnaire matching engine. To add a custom answer, click Add Answer in the Answer Library or navigate to Mana</w:t>
      </w:r>
      <w:r>
        <w:rPr>
          <w:rFonts w:ascii="Arial" w:eastAsia="Arial" w:hAnsi="Arial" w:cs="Arial"/>
          <w:color w:val="111111"/>
          <w:sz w:val="22"/>
          <w:szCs w:val="22"/>
        </w:rPr>
        <w:t>ge → Custom Answers in the sidebar.</w:t>
      </w:r>
    </w:p>
    <w:p w14:paraId="21E05376" w14:textId="77777777" w:rsidR="00A60164" w:rsidRDefault="00414275">
      <w:pPr>
        <w:spacing w:after="160" w:line="276" w:lineRule="auto"/>
      </w:pPr>
      <w:r>
        <w:rPr>
          <w:rFonts w:ascii="Arial" w:eastAsia="Arial" w:hAnsi="Arial" w:cs="Arial"/>
          <w:color w:val="111111"/>
          <w:sz w:val="22"/>
          <w:szCs w:val="22"/>
        </w:rPr>
        <w:t>Each custom answer requires: a question text, a category (new or existing), and at least one tier answer (Early, Established, or Mature). Optionally add evidence notes, a red flag warning, and framework tags.</w:t>
      </w:r>
    </w:p>
    <w:p w14:paraId="35EEAD02" w14:textId="77777777" w:rsidR="00A60164" w:rsidRDefault="00414275">
      <w:pPr>
        <w:pStyle w:val="Heading2"/>
        <w:spacing w:before="300" w:after="160"/>
      </w:pPr>
      <w:r>
        <w:rPr>
          <w:rFonts w:ascii="Arial" w:eastAsia="Arial" w:hAnsi="Arial" w:cs="Arial"/>
          <w:b/>
          <w:bCs/>
          <w:color w:val="2A7D6B"/>
          <w:sz w:val="32"/>
          <w:szCs w:val="32"/>
        </w:rPr>
        <w:t>When to Use</w:t>
      </w:r>
      <w:r>
        <w:rPr>
          <w:rFonts w:ascii="Arial" w:eastAsia="Arial" w:hAnsi="Arial" w:cs="Arial"/>
          <w:b/>
          <w:bCs/>
          <w:color w:val="2A7D6B"/>
          <w:sz w:val="32"/>
          <w:szCs w:val="32"/>
        </w:rPr>
        <w:t xml:space="preserve"> Custom Answers</w:t>
      </w:r>
    </w:p>
    <w:p w14:paraId="20700915" w14:textId="77777777" w:rsidR="00A60164" w:rsidRDefault="00414275">
      <w:pPr>
        <w:spacing w:after="160" w:line="276" w:lineRule="auto"/>
      </w:pPr>
      <w:r>
        <w:rPr>
          <w:rFonts w:ascii="Arial" w:eastAsia="Arial" w:hAnsi="Arial" w:cs="Arial"/>
          <w:color w:val="111111"/>
          <w:sz w:val="22"/>
          <w:szCs w:val="22"/>
        </w:rPr>
        <w:t>Custom answers are most useful in three scenarios:</w:t>
      </w:r>
    </w:p>
    <w:p w14:paraId="05193EED"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Proprietary controls — you have implemented something unique that the built-in library does not cover, such as a bespoke AI governance process or a specific hardware security module configu</w:t>
      </w:r>
      <w:r>
        <w:rPr>
          <w:rFonts w:ascii="Arial" w:eastAsia="Arial" w:hAnsi="Arial" w:cs="Arial"/>
          <w:color w:val="111111"/>
          <w:sz w:val="22"/>
          <w:szCs w:val="22"/>
        </w:rPr>
        <w:t>ration.</w:t>
      </w:r>
    </w:p>
    <w:p w14:paraId="348FCAD6"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Specific vendor language — a particular customer always phrases their questionnaire the same way and the matching engine scores it low. Adding a custom answer with that exact phrasing produces high-confidence matches on future imports.</w:t>
      </w:r>
    </w:p>
    <w:p w14:paraId="0B654B30"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 xml:space="preserve">Internal policies — </w:t>
      </w:r>
      <w:r>
        <w:rPr>
          <w:rFonts w:ascii="Arial" w:eastAsia="Arial" w:hAnsi="Arial" w:cs="Arial"/>
          <w:color w:val="111111"/>
          <w:sz w:val="22"/>
          <w:szCs w:val="22"/>
        </w:rPr>
        <w:t>you want to reference specific internal policy names, document numbers, or named tools rather than the generic library answers.</w:t>
      </w:r>
    </w:p>
    <w:p w14:paraId="480222F0" w14:textId="77777777" w:rsidR="00A60164" w:rsidRDefault="00414275">
      <w:pPr>
        <w:pStyle w:val="Heading2"/>
        <w:spacing w:before="300" w:after="160"/>
      </w:pPr>
      <w:r>
        <w:rPr>
          <w:rFonts w:ascii="Arial" w:eastAsia="Arial" w:hAnsi="Arial" w:cs="Arial"/>
          <w:b/>
          <w:bCs/>
          <w:color w:val="2A7D6B"/>
          <w:sz w:val="32"/>
          <w:szCs w:val="32"/>
        </w:rPr>
        <w:lastRenderedPageBreak/>
        <w:t>Managing Your Library</w:t>
      </w:r>
    </w:p>
    <w:p w14:paraId="38092106" w14:textId="61B244A3" w:rsidR="00A60164" w:rsidRDefault="00414275" w:rsidP="001B2934">
      <w:pPr>
        <w:spacing w:after="160" w:line="276" w:lineRule="auto"/>
      </w:pPr>
      <w:r>
        <w:rPr>
          <w:rFonts w:ascii="Arial" w:eastAsia="Arial" w:hAnsi="Arial" w:cs="Arial"/>
          <w:color w:val="111111"/>
          <w:sz w:val="22"/>
          <w:szCs w:val="22"/>
        </w:rPr>
        <w:t xml:space="preserve">Custom answers are displayed in the Answer Library with a Custom badge. You can edit or delete any custom </w:t>
      </w:r>
      <w:r>
        <w:rPr>
          <w:rFonts w:ascii="Arial" w:eastAsia="Arial" w:hAnsi="Arial" w:cs="Arial"/>
          <w:color w:val="111111"/>
          <w:sz w:val="22"/>
          <w:szCs w:val="22"/>
        </w:rPr>
        <w:t>answer from its expanded card view. Deleting a custom answer removes it from the library but does not affect any import sessions that already used it.</w:t>
      </w:r>
    </w:p>
    <w:p w14:paraId="5144AC89" w14:textId="77777777" w:rsidR="00A60164" w:rsidRDefault="00414275">
      <w:pPr>
        <w:pStyle w:val="Heading1"/>
        <w:spacing w:before="400" w:after="200"/>
      </w:pPr>
      <w:r>
        <w:rPr>
          <w:rFonts w:ascii="Arial" w:eastAsia="Arial" w:hAnsi="Arial" w:cs="Arial"/>
          <w:b/>
          <w:bCs/>
          <w:color w:val="0F2B3D"/>
          <w:sz w:val="48"/>
          <w:szCs w:val="48"/>
        </w:rPr>
        <w:t>Chapter 13: Activity History</w:t>
      </w:r>
    </w:p>
    <w:p w14:paraId="529BD6F0" w14:textId="77777777" w:rsidR="00A60164" w:rsidRDefault="00414275">
      <w:pPr>
        <w:pStyle w:val="Heading2"/>
        <w:spacing w:before="300" w:after="160"/>
      </w:pPr>
      <w:r>
        <w:rPr>
          <w:rFonts w:ascii="Arial" w:eastAsia="Arial" w:hAnsi="Arial" w:cs="Arial"/>
          <w:b/>
          <w:bCs/>
          <w:color w:val="2A7D6B"/>
          <w:sz w:val="32"/>
          <w:szCs w:val="32"/>
        </w:rPr>
        <w:t>What Gets Tracked</w:t>
      </w:r>
    </w:p>
    <w:p w14:paraId="3F91A6DB" w14:textId="77777777" w:rsidR="00A60164" w:rsidRDefault="00414275">
      <w:pPr>
        <w:spacing w:after="160" w:line="276" w:lineRule="auto"/>
      </w:pPr>
      <w:r>
        <w:rPr>
          <w:rFonts w:ascii="Arial" w:eastAsia="Arial" w:hAnsi="Arial" w:cs="Arial"/>
          <w:color w:val="111111"/>
          <w:sz w:val="22"/>
          <w:szCs w:val="22"/>
        </w:rPr>
        <w:t>Activity History records completed questionnaire respons</w:t>
      </w:r>
      <w:r>
        <w:rPr>
          <w:rFonts w:ascii="Arial" w:eastAsia="Arial" w:hAnsi="Arial" w:cs="Arial"/>
          <w:color w:val="111111"/>
          <w:sz w:val="22"/>
          <w:szCs w:val="22"/>
        </w:rPr>
        <w:t>es and vendor analyses. Each entry is created when you save a session to history at the end of an import or analysis workflow. Entries capture:</w:t>
      </w:r>
    </w:p>
    <w:p w14:paraId="51BAE817"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Type — Questionnaire Response or Vendor Analysis.</w:t>
      </w:r>
    </w:p>
    <w:p w14:paraId="0A668D9B"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File name or recipient company name.</w:t>
      </w:r>
    </w:p>
    <w:p w14:paraId="1B531F38"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Match rate — the percentage of questions automatically matched from the library (responses only).</w:t>
      </w:r>
    </w:p>
    <w:p w14:paraId="5EE16BC0"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Date completed.</w:t>
      </w:r>
    </w:p>
    <w:p w14:paraId="08EF9EBD"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Outcome — Won, Lost, Pending, or No Response (to track whether the questionnaire led to a business outcome).</w:t>
      </w:r>
    </w:p>
    <w:p w14:paraId="6BA9610B"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Notes — free-text notes you can a</w:t>
      </w:r>
      <w:r>
        <w:rPr>
          <w:rFonts w:ascii="Arial" w:eastAsia="Arial" w:hAnsi="Arial" w:cs="Arial"/>
          <w:color w:val="111111"/>
          <w:sz w:val="22"/>
          <w:szCs w:val="22"/>
        </w:rPr>
        <w:t>dd after the fact.</w:t>
      </w:r>
    </w:p>
    <w:p w14:paraId="5BFCDF87" w14:textId="77777777" w:rsidR="00A60164" w:rsidRDefault="00414275">
      <w:pPr>
        <w:pStyle w:val="Heading2"/>
        <w:spacing w:before="300" w:after="160"/>
      </w:pPr>
      <w:r>
        <w:rPr>
          <w:rFonts w:ascii="Arial" w:eastAsia="Arial" w:hAnsi="Arial" w:cs="Arial"/>
          <w:b/>
          <w:bCs/>
          <w:color w:val="2A7D6B"/>
          <w:sz w:val="32"/>
          <w:szCs w:val="32"/>
        </w:rPr>
        <w:t>Viewing and Filtering</w:t>
      </w:r>
    </w:p>
    <w:p w14:paraId="0F1813B0" w14:textId="77777777" w:rsidR="00A60164" w:rsidRDefault="00414275">
      <w:pPr>
        <w:spacing w:after="160" w:line="276" w:lineRule="auto"/>
      </w:pPr>
      <w:r>
        <w:rPr>
          <w:rFonts w:ascii="Arial" w:eastAsia="Arial" w:hAnsi="Arial" w:cs="Arial"/>
          <w:color w:val="111111"/>
          <w:sz w:val="22"/>
          <w:szCs w:val="22"/>
        </w:rPr>
        <w:t>The history list is sorted by date, most recent first. Use the filter tabs at the top to view All entries, only Questionnaire Responses, or only Vendor Analyses. A statistics strip at the top shows: responses this m</w:t>
      </w:r>
      <w:r>
        <w:rPr>
          <w:rFonts w:ascii="Arial" w:eastAsia="Arial" w:hAnsi="Arial" w:cs="Arial"/>
          <w:color w:val="111111"/>
          <w:sz w:val="22"/>
          <w:szCs w:val="22"/>
        </w:rPr>
        <w:t>onth, average match rate, vendor analyses this month, and total entries.</w:t>
      </w:r>
    </w:p>
    <w:p w14:paraId="29B81204" w14:textId="77777777" w:rsidR="00A60164" w:rsidRDefault="00414275">
      <w:pPr>
        <w:spacing w:after="160" w:line="276" w:lineRule="auto"/>
      </w:pPr>
      <w:r>
        <w:rPr>
          <w:rFonts w:ascii="Arial" w:eastAsia="Arial" w:hAnsi="Arial" w:cs="Arial"/>
          <w:color w:val="111111"/>
          <w:sz w:val="22"/>
          <w:szCs w:val="22"/>
        </w:rPr>
        <w:t>Click any entry to expand it and see full details. From the expanded view you can update the outcome and add or edit notes. Outcomes are colour-coded: green for Won, red for Lost, amb</w:t>
      </w:r>
      <w:r>
        <w:rPr>
          <w:rFonts w:ascii="Arial" w:eastAsia="Arial" w:hAnsi="Arial" w:cs="Arial"/>
          <w:color w:val="111111"/>
          <w:sz w:val="22"/>
          <w:szCs w:val="22"/>
        </w:rPr>
        <w:t>er for Pending.</w:t>
      </w:r>
    </w:p>
    <w:p w14:paraId="1597FD72" w14:textId="77777777" w:rsidR="00A60164" w:rsidRDefault="00414275">
      <w:pPr>
        <w:pStyle w:val="Heading2"/>
        <w:spacing w:before="300" w:after="160"/>
      </w:pPr>
      <w:r>
        <w:rPr>
          <w:rFonts w:ascii="Arial" w:eastAsia="Arial" w:hAnsi="Arial" w:cs="Arial"/>
          <w:b/>
          <w:bCs/>
          <w:color w:val="2A7D6B"/>
          <w:sz w:val="32"/>
          <w:szCs w:val="32"/>
        </w:rPr>
        <w:t>Exporting History</w:t>
      </w:r>
    </w:p>
    <w:p w14:paraId="4EAC9F8B" w14:textId="11822965" w:rsidR="00A60164" w:rsidRDefault="00414275" w:rsidP="001B2934">
      <w:pPr>
        <w:spacing w:after="160" w:line="276" w:lineRule="auto"/>
      </w:pPr>
      <w:r>
        <w:rPr>
          <w:rFonts w:ascii="Arial" w:eastAsia="Arial" w:hAnsi="Arial" w:cs="Arial"/>
          <w:color w:val="111111"/>
          <w:sz w:val="22"/>
          <w:szCs w:val="22"/>
        </w:rPr>
        <w:t>The Activity History page does not have a direct export button. To export your history data, use Settings → Data Management → Export Backup, which includes history entries in the JSON backup file.</w:t>
      </w:r>
    </w:p>
    <w:p w14:paraId="4F716679" w14:textId="77777777" w:rsidR="00A60164" w:rsidRDefault="00414275">
      <w:pPr>
        <w:pStyle w:val="Heading1"/>
        <w:spacing w:before="400" w:after="200"/>
      </w:pPr>
      <w:r>
        <w:rPr>
          <w:rFonts w:ascii="Arial" w:eastAsia="Arial" w:hAnsi="Arial" w:cs="Arial"/>
          <w:b/>
          <w:bCs/>
          <w:color w:val="0F2B3D"/>
          <w:sz w:val="48"/>
          <w:szCs w:val="48"/>
        </w:rPr>
        <w:t>Chapter 14: Settings</w:t>
      </w:r>
    </w:p>
    <w:p w14:paraId="4C750BAB" w14:textId="77777777" w:rsidR="00A60164" w:rsidRDefault="00414275">
      <w:pPr>
        <w:pStyle w:val="Heading2"/>
        <w:spacing w:before="300" w:after="160"/>
      </w:pPr>
      <w:r>
        <w:rPr>
          <w:rFonts w:ascii="Arial" w:eastAsia="Arial" w:hAnsi="Arial" w:cs="Arial"/>
          <w:b/>
          <w:bCs/>
          <w:color w:val="2A7D6B"/>
          <w:sz w:val="32"/>
          <w:szCs w:val="32"/>
        </w:rPr>
        <w:t>AI</w:t>
      </w:r>
      <w:r>
        <w:rPr>
          <w:rFonts w:ascii="Arial" w:eastAsia="Arial" w:hAnsi="Arial" w:cs="Arial"/>
          <w:b/>
          <w:bCs/>
          <w:color w:val="2A7D6B"/>
          <w:sz w:val="32"/>
          <w:szCs w:val="32"/>
        </w:rPr>
        <w:t xml:space="preserve"> Configuration</w:t>
      </w:r>
    </w:p>
    <w:p w14:paraId="414D858C" w14:textId="77777777" w:rsidR="00A60164" w:rsidRDefault="00414275">
      <w:pPr>
        <w:spacing w:after="160" w:line="276" w:lineRule="auto"/>
      </w:pPr>
      <w:r>
        <w:rPr>
          <w:rFonts w:ascii="Arial" w:eastAsia="Arial" w:hAnsi="Arial" w:cs="Arial"/>
          <w:color w:val="111111"/>
          <w:sz w:val="22"/>
          <w:szCs w:val="22"/>
        </w:rPr>
        <w:lastRenderedPageBreak/>
        <w:t>The AI Configuration tab lets you connect Ridgeguard to an external AI provider. This is the BYOK (Bring Your Own Key) model — you supply the API key and the cost is on your own API account. Ridgeguard never sees your API key or your data.</w:t>
      </w:r>
    </w:p>
    <w:p w14:paraId="56093150" w14:textId="77777777" w:rsidR="00A60164" w:rsidRDefault="00414275">
      <w:pPr>
        <w:spacing w:after="160" w:line="276" w:lineRule="auto"/>
      </w:pPr>
      <w:r>
        <w:rPr>
          <w:rFonts w:ascii="Arial" w:eastAsia="Arial" w:hAnsi="Arial" w:cs="Arial"/>
          <w:color w:val="111111"/>
          <w:sz w:val="22"/>
          <w:szCs w:val="22"/>
        </w:rPr>
        <w:t>S</w:t>
      </w:r>
      <w:r>
        <w:rPr>
          <w:rFonts w:ascii="Arial" w:eastAsia="Arial" w:hAnsi="Arial" w:cs="Arial"/>
          <w:color w:val="111111"/>
          <w:sz w:val="22"/>
          <w:szCs w:val="22"/>
        </w:rPr>
        <w:t>elect your AI provider from the dropdown. Ridgeguard supports ten providers: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770"/>
        <w:gridCol w:w="7246"/>
      </w:tblGrid>
      <w:tr w:rsidR="00A60164" w14:paraId="1F8C5F87" w14:textId="77777777">
        <w:tblPrEx>
          <w:tblCellMar>
            <w:top w:w="0" w:type="dxa"/>
            <w:bottom w:w="0" w:type="dxa"/>
          </w:tblCellMar>
        </w:tblPrEx>
        <w:trPr>
          <w:tblHeader/>
        </w:trPr>
        <w:tc>
          <w:tcPr>
            <w:tcW w:w="0" w:type="auto"/>
            <w:shd w:val="clear" w:color="auto" w:fill="2A7D6B"/>
          </w:tcPr>
          <w:p w14:paraId="39B5A1A8" w14:textId="77777777" w:rsidR="00A60164" w:rsidRDefault="00414275">
            <w:r>
              <w:rPr>
                <w:rFonts w:ascii="Arial" w:eastAsia="Arial" w:hAnsi="Arial" w:cs="Arial"/>
                <w:b/>
                <w:bCs/>
                <w:color w:val="FFFFFF"/>
              </w:rPr>
              <w:t>Provider</w:t>
            </w:r>
          </w:p>
        </w:tc>
        <w:tc>
          <w:tcPr>
            <w:tcW w:w="0" w:type="auto"/>
            <w:shd w:val="clear" w:color="auto" w:fill="2A7D6B"/>
          </w:tcPr>
          <w:p w14:paraId="08076A79" w14:textId="77777777" w:rsidR="00A60164" w:rsidRDefault="00414275">
            <w:r>
              <w:rPr>
                <w:rFonts w:ascii="Arial" w:eastAsia="Arial" w:hAnsi="Arial" w:cs="Arial"/>
                <w:b/>
                <w:bCs/>
                <w:color w:val="FFFFFF"/>
              </w:rPr>
              <w:t>Notes</w:t>
            </w:r>
          </w:p>
        </w:tc>
      </w:tr>
      <w:tr w:rsidR="00A60164" w14:paraId="40E87EAB" w14:textId="77777777">
        <w:tblPrEx>
          <w:tblCellMar>
            <w:top w:w="0" w:type="dxa"/>
            <w:bottom w:w="0" w:type="dxa"/>
          </w:tblCellMar>
        </w:tblPrEx>
        <w:tc>
          <w:tcPr>
            <w:tcW w:w="0" w:type="auto"/>
          </w:tcPr>
          <w:p w14:paraId="67398107" w14:textId="77777777" w:rsidR="00A60164" w:rsidRDefault="00414275">
            <w:proofErr w:type="spellStart"/>
            <w:r>
              <w:rPr>
                <w:rFonts w:ascii="Arial" w:eastAsia="Arial" w:hAnsi="Arial" w:cs="Arial"/>
                <w:color w:val="111111"/>
              </w:rPr>
              <w:t>OpenAI</w:t>
            </w:r>
            <w:proofErr w:type="spellEnd"/>
          </w:p>
        </w:tc>
        <w:tc>
          <w:tcPr>
            <w:tcW w:w="0" w:type="auto"/>
          </w:tcPr>
          <w:p w14:paraId="2417D238" w14:textId="77777777" w:rsidR="00A60164" w:rsidRDefault="00414275">
            <w:r>
              <w:rPr>
                <w:rFonts w:ascii="Arial" w:eastAsia="Arial" w:hAnsi="Arial" w:cs="Arial"/>
                <w:color w:val="111111"/>
              </w:rPr>
              <w:t>Models: gpt-4o, gpt-4o-mini, gpt-4-turbo, o1, o1-mini</w:t>
            </w:r>
          </w:p>
        </w:tc>
      </w:tr>
      <w:tr w:rsidR="00A60164" w14:paraId="14FDD2C5" w14:textId="77777777">
        <w:tblPrEx>
          <w:tblCellMar>
            <w:top w:w="0" w:type="dxa"/>
            <w:bottom w:w="0" w:type="dxa"/>
          </w:tblCellMar>
        </w:tblPrEx>
        <w:tc>
          <w:tcPr>
            <w:tcW w:w="0" w:type="auto"/>
            <w:shd w:val="clear" w:color="auto" w:fill="F9FAFB"/>
          </w:tcPr>
          <w:p w14:paraId="3250352C" w14:textId="77777777" w:rsidR="00A60164" w:rsidRDefault="00414275">
            <w:r>
              <w:rPr>
                <w:rFonts w:ascii="Arial" w:eastAsia="Arial" w:hAnsi="Arial" w:cs="Arial"/>
                <w:color w:val="111111"/>
              </w:rPr>
              <w:t>Anthropic (Claude)</w:t>
            </w:r>
          </w:p>
        </w:tc>
        <w:tc>
          <w:tcPr>
            <w:tcW w:w="0" w:type="auto"/>
            <w:shd w:val="clear" w:color="auto" w:fill="F9FAFB"/>
          </w:tcPr>
          <w:p w14:paraId="4A14A4A9" w14:textId="77777777" w:rsidR="00A60164" w:rsidRDefault="00414275">
            <w:r>
              <w:rPr>
                <w:rFonts w:ascii="Arial" w:eastAsia="Arial" w:hAnsi="Arial" w:cs="Arial"/>
                <w:color w:val="111111"/>
              </w:rPr>
              <w:t>Models: claude-opus-4, claude-sonnet-4, claude-haiku-4-5</w:t>
            </w:r>
          </w:p>
        </w:tc>
      </w:tr>
      <w:tr w:rsidR="00A60164" w14:paraId="164E3139" w14:textId="77777777">
        <w:tblPrEx>
          <w:tblCellMar>
            <w:top w:w="0" w:type="dxa"/>
            <w:bottom w:w="0" w:type="dxa"/>
          </w:tblCellMar>
        </w:tblPrEx>
        <w:tc>
          <w:tcPr>
            <w:tcW w:w="0" w:type="auto"/>
          </w:tcPr>
          <w:p w14:paraId="688B8E34" w14:textId="77777777" w:rsidR="00A60164" w:rsidRDefault="00414275">
            <w:r>
              <w:rPr>
                <w:rFonts w:ascii="Arial" w:eastAsia="Arial" w:hAnsi="Arial" w:cs="Arial"/>
                <w:color w:val="111111"/>
              </w:rPr>
              <w:t xml:space="preserve">Azure </w:t>
            </w:r>
            <w:proofErr w:type="spellStart"/>
            <w:r>
              <w:rPr>
                <w:rFonts w:ascii="Arial" w:eastAsia="Arial" w:hAnsi="Arial" w:cs="Arial"/>
                <w:color w:val="111111"/>
              </w:rPr>
              <w:t>OpenAI</w:t>
            </w:r>
            <w:proofErr w:type="spellEnd"/>
          </w:p>
        </w:tc>
        <w:tc>
          <w:tcPr>
            <w:tcW w:w="0" w:type="auto"/>
          </w:tcPr>
          <w:p w14:paraId="4CDB5B66" w14:textId="77777777" w:rsidR="00A60164" w:rsidRDefault="00414275">
            <w:r>
              <w:rPr>
                <w:rFonts w:ascii="Arial" w:eastAsia="Arial" w:hAnsi="Arial" w:cs="Arial"/>
                <w:color w:val="111111"/>
              </w:rPr>
              <w:t>Requires your Azure deployment name and endpoint URL</w:t>
            </w:r>
          </w:p>
        </w:tc>
      </w:tr>
      <w:tr w:rsidR="00A60164" w14:paraId="1ABF4B40" w14:textId="77777777">
        <w:tblPrEx>
          <w:tblCellMar>
            <w:top w:w="0" w:type="dxa"/>
            <w:bottom w:w="0" w:type="dxa"/>
          </w:tblCellMar>
        </w:tblPrEx>
        <w:tc>
          <w:tcPr>
            <w:tcW w:w="0" w:type="auto"/>
            <w:shd w:val="clear" w:color="auto" w:fill="F9FAFB"/>
          </w:tcPr>
          <w:p w14:paraId="50C31107" w14:textId="77777777" w:rsidR="00A60164" w:rsidRDefault="00414275">
            <w:r>
              <w:rPr>
                <w:rFonts w:ascii="Arial" w:eastAsia="Arial" w:hAnsi="Arial" w:cs="Arial"/>
                <w:color w:val="111111"/>
              </w:rPr>
              <w:t>Google (Gemini)</w:t>
            </w:r>
          </w:p>
        </w:tc>
        <w:tc>
          <w:tcPr>
            <w:tcW w:w="0" w:type="auto"/>
            <w:shd w:val="clear" w:color="auto" w:fill="F9FAFB"/>
          </w:tcPr>
          <w:p w14:paraId="667111A8" w14:textId="77777777" w:rsidR="00A60164" w:rsidRDefault="00414275">
            <w:r>
              <w:rPr>
                <w:rFonts w:ascii="Arial" w:eastAsia="Arial" w:hAnsi="Arial" w:cs="Arial"/>
                <w:color w:val="111111"/>
              </w:rPr>
              <w:t>Models: gemini-2.0-flash, gemini-2.5-pro, gemini-2.5-flash</w:t>
            </w:r>
          </w:p>
        </w:tc>
      </w:tr>
      <w:tr w:rsidR="00A60164" w14:paraId="763E3637" w14:textId="77777777">
        <w:tblPrEx>
          <w:tblCellMar>
            <w:top w:w="0" w:type="dxa"/>
            <w:bottom w:w="0" w:type="dxa"/>
          </w:tblCellMar>
        </w:tblPrEx>
        <w:tc>
          <w:tcPr>
            <w:tcW w:w="0" w:type="auto"/>
          </w:tcPr>
          <w:p w14:paraId="37B69B56" w14:textId="77777777" w:rsidR="00A60164" w:rsidRDefault="00414275">
            <w:r>
              <w:rPr>
                <w:rFonts w:ascii="Arial" w:eastAsia="Arial" w:hAnsi="Arial" w:cs="Arial"/>
                <w:color w:val="111111"/>
              </w:rPr>
              <w:t>Mistral AI</w:t>
            </w:r>
          </w:p>
        </w:tc>
        <w:tc>
          <w:tcPr>
            <w:tcW w:w="0" w:type="auto"/>
          </w:tcPr>
          <w:p w14:paraId="7371F7D9" w14:textId="77777777" w:rsidR="00A60164" w:rsidRDefault="00414275">
            <w:r>
              <w:rPr>
                <w:rFonts w:ascii="Arial" w:eastAsia="Arial" w:hAnsi="Arial" w:cs="Arial"/>
                <w:color w:val="111111"/>
              </w:rPr>
              <w:t>Models: mistral-large-latest, mistral-medium-latest, mistral-small-latest</w:t>
            </w:r>
          </w:p>
        </w:tc>
      </w:tr>
      <w:tr w:rsidR="00A60164" w14:paraId="4ACC5915" w14:textId="77777777">
        <w:tblPrEx>
          <w:tblCellMar>
            <w:top w:w="0" w:type="dxa"/>
            <w:bottom w:w="0" w:type="dxa"/>
          </w:tblCellMar>
        </w:tblPrEx>
        <w:tc>
          <w:tcPr>
            <w:tcW w:w="0" w:type="auto"/>
            <w:shd w:val="clear" w:color="auto" w:fill="F9FAFB"/>
          </w:tcPr>
          <w:p w14:paraId="4BB2DBE2" w14:textId="77777777" w:rsidR="00A60164" w:rsidRDefault="00414275">
            <w:proofErr w:type="spellStart"/>
            <w:r>
              <w:rPr>
                <w:rFonts w:ascii="Arial" w:eastAsia="Arial" w:hAnsi="Arial" w:cs="Arial"/>
                <w:color w:val="111111"/>
              </w:rPr>
              <w:t>Groq</w:t>
            </w:r>
            <w:proofErr w:type="spellEnd"/>
          </w:p>
        </w:tc>
        <w:tc>
          <w:tcPr>
            <w:tcW w:w="0" w:type="auto"/>
            <w:shd w:val="clear" w:color="auto" w:fill="F9FAFB"/>
          </w:tcPr>
          <w:p w14:paraId="27AA4957" w14:textId="77777777" w:rsidR="00A60164" w:rsidRDefault="00414275">
            <w:r>
              <w:rPr>
                <w:rFonts w:ascii="Arial" w:eastAsia="Arial" w:hAnsi="Arial" w:cs="Arial"/>
                <w:color w:val="111111"/>
              </w:rPr>
              <w:t>Models: llama-3.3-70b-versatile, llama-3.1-8b-instant, mixtral-8x7b-32768</w:t>
            </w:r>
          </w:p>
        </w:tc>
      </w:tr>
      <w:tr w:rsidR="00A60164" w14:paraId="479E1C42" w14:textId="77777777">
        <w:tblPrEx>
          <w:tblCellMar>
            <w:top w:w="0" w:type="dxa"/>
            <w:bottom w:w="0" w:type="dxa"/>
          </w:tblCellMar>
        </w:tblPrEx>
        <w:tc>
          <w:tcPr>
            <w:tcW w:w="0" w:type="auto"/>
          </w:tcPr>
          <w:p w14:paraId="1C82699A" w14:textId="77777777" w:rsidR="00A60164" w:rsidRDefault="00414275">
            <w:r>
              <w:rPr>
                <w:rFonts w:ascii="Arial" w:eastAsia="Arial" w:hAnsi="Arial" w:cs="Arial"/>
                <w:color w:val="111111"/>
              </w:rPr>
              <w:t>Perplexity</w:t>
            </w:r>
          </w:p>
        </w:tc>
        <w:tc>
          <w:tcPr>
            <w:tcW w:w="0" w:type="auto"/>
          </w:tcPr>
          <w:p w14:paraId="5219ECCB" w14:textId="77777777" w:rsidR="00A60164" w:rsidRDefault="00414275">
            <w:r>
              <w:rPr>
                <w:rFonts w:ascii="Arial" w:eastAsia="Arial" w:hAnsi="Arial" w:cs="Arial"/>
                <w:color w:val="111111"/>
              </w:rPr>
              <w:t>Models: llama-3.1-sonar-large-128k-online, llama-3.1-sonar-small-128k-online</w:t>
            </w:r>
          </w:p>
        </w:tc>
      </w:tr>
      <w:tr w:rsidR="00A60164" w14:paraId="1A41FBB8" w14:textId="77777777">
        <w:tblPrEx>
          <w:tblCellMar>
            <w:top w:w="0" w:type="dxa"/>
            <w:bottom w:w="0" w:type="dxa"/>
          </w:tblCellMar>
        </w:tblPrEx>
        <w:tc>
          <w:tcPr>
            <w:tcW w:w="0" w:type="auto"/>
            <w:shd w:val="clear" w:color="auto" w:fill="F9FAFB"/>
          </w:tcPr>
          <w:p w14:paraId="17AEFB20" w14:textId="77777777" w:rsidR="00A60164" w:rsidRDefault="00414275">
            <w:r>
              <w:rPr>
                <w:rFonts w:ascii="Arial" w:eastAsia="Arial" w:hAnsi="Arial" w:cs="Arial"/>
                <w:color w:val="111111"/>
              </w:rPr>
              <w:t>DeepSeek</w:t>
            </w:r>
          </w:p>
        </w:tc>
        <w:tc>
          <w:tcPr>
            <w:tcW w:w="0" w:type="auto"/>
            <w:shd w:val="clear" w:color="auto" w:fill="F9FAFB"/>
          </w:tcPr>
          <w:p w14:paraId="2EE4CABA" w14:textId="77777777" w:rsidR="00A60164" w:rsidRDefault="00414275">
            <w:r>
              <w:rPr>
                <w:rFonts w:ascii="Arial" w:eastAsia="Arial" w:hAnsi="Arial" w:cs="Arial"/>
                <w:color w:val="111111"/>
              </w:rPr>
              <w:t xml:space="preserve">Models: </w:t>
            </w:r>
            <w:proofErr w:type="spellStart"/>
            <w:r>
              <w:rPr>
                <w:rFonts w:ascii="Arial" w:eastAsia="Arial" w:hAnsi="Arial" w:cs="Arial"/>
                <w:color w:val="111111"/>
              </w:rPr>
              <w:t>deepseek</w:t>
            </w:r>
            <w:proofErr w:type="spellEnd"/>
            <w:r>
              <w:rPr>
                <w:rFonts w:ascii="Arial" w:eastAsia="Arial" w:hAnsi="Arial" w:cs="Arial"/>
                <w:color w:val="111111"/>
              </w:rPr>
              <w:t xml:space="preserve">-chat, </w:t>
            </w:r>
            <w:proofErr w:type="spellStart"/>
            <w:r>
              <w:rPr>
                <w:rFonts w:ascii="Arial" w:eastAsia="Arial" w:hAnsi="Arial" w:cs="Arial"/>
                <w:color w:val="111111"/>
              </w:rPr>
              <w:t>deepseek</w:t>
            </w:r>
            <w:proofErr w:type="spellEnd"/>
            <w:r>
              <w:rPr>
                <w:rFonts w:ascii="Arial" w:eastAsia="Arial" w:hAnsi="Arial" w:cs="Arial"/>
                <w:color w:val="111111"/>
              </w:rPr>
              <w:t>-reasoner</w:t>
            </w:r>
          </w:p>
        </w:tc>
      </w:tr>
      <w:tr w:rsidR="00A60164" w14:paraId="0F544709" w14:textId="77777777">
        <w:tblPrEx>
          <w:tblCellMar>
            <w:top w:w="0" w:type="dxa"/>
            <w:bottom w:w="0" w:type="dxa"/>
          </w:tblCellMar>
        </w:tblPrEx>
        <w:tc>
          <w:tcPr>
            <w:tcW w:w="0" w:type="auto"/>
          </w:tcPr>
          <w:p w14:paraId="70627385" w14:textId="77777777" w:rsidR="00A60164" w:rsidRDefault="00414275">
            <w:proofErr w:type="spellStart"/>
            <w:r>
              <w:rPr>
                <w:rFonts w:ascii="Arial" w:eastAsia="Arial" w:hAnsi="Arial" w:cs="Arial"/>
                <w:color w:val="111111"/>
              </w:rPr>
              <w:t>Ollama</w:t>
            </w:r>
            <w:proofErr w:type="spellEnd"/>
            <w:r>
              <w:rPr>
                <w:rFonts w:ascii="Arial" w:eastAsia="Arial" w:hAnsi="Arial" w:cs="Arial"/>
                <w:color w:val="111111"/>
              </w:rPr>
              <w:t xml:space="preserve"> (Local)</w:t>
            </w:r>
          </w:p>
        </w:tc>
        <w:tc>
          <w:tcPr>
            <w:tcW w:w="0" w:type="auto"/>
          </w:tcPr>
          <w:p w14:paraId="0BF69F91" w14:textId="77777777" w:rsidR="00A60164" w:rsidRDefault="00414275">
            <w:r>
              <w:rPr>
                <w:rFonts w:ascii="Arial" w:eastAsia="Arial" w:hAnsi="Arial" w:cs="Arial"/>
                <w:color w:val="111111"/>
              </w:rPr>
              <w:t>Runs locally; configure en</w:t>
            </w:r>
            <w:r>
              <w:rPr>
                <w:rFonts w:ascii="Arial" w:eastAsia="Arial" w:hAnsi="Arial" w:cs="Arial"/>
                <w:color w:val="111111"/>
              </w:rPr>
              <w:t>dpoint (default: http://localhost:11434)</w:t>
            </w:r>
          </w:p>
        </w:tc>
      </w:tr>
      <w:tr w:rsidR="00A60164" w14:paraId="03692493" w14:textId="77777777">
        <w:tblPrEx>
          <w:tblCellMar>
            <w:top w:w="0" w:type="dxa"/>
            <w:bottom w:w="0" w:type="dxa"/>
          </w:tblCellMar>
        </w:tblPrEx>
        <w:tc>
          <w:tcPr>
            <w:tcW w:w="0" w:type="auto"/>
            <w:shd w:val="clear" w:color="auto" w:fill="F9FAFB"/>
          </w:tcPr>
          <w:p w14:paraId="2F35D114" w14:textId="77777777" w:rsidR="00A60164" w:rsidRDefault="00414275">
            <w:r>
              <w:rPr>
                <w:rFonts w:ascii="Arial" w:eastAsia="Arial" w:hAnsi="Arial" w:cs="Arial"/>
                <w:color w:val="111111"/>
              </w:rPr>
              <w:t>Custom Provider</w:t>
            </w:r>
          </w:p>
        </w:tc>
        <w:tc>
          <w:tcPr>
            <w:tcW w:w="0" w:type="auto"/>
            <w:shd w:val="clear" w:color="auto" w:fill="F9FAFB"/>
          </w:tcPr>
          <w:p w14:paraId="3EA2B792" w14:textId="77777777" w:rsidR="00A60164" w:rsidRDefault="00414275">
            <w:r>
              <w:rPr>
                <w:rFonts w:ascii="Arial" w:eastAsia="Arial" w:hAnsi="Arial" w:cs="Arial"/>
                <w:color w:val="111111"/>
              </w:rPr>
              <w:t xml:space="preserve">Any endpoint that speaks the </w:t>
            </w:r>
            <w:proofErr w:type="spellStart"/>
            <w:r>
              <w:rPr>
                <w:rFonts w:ascii="Arial" w:eastAsia="Arial" w:hAnsi="Arial" w:cs="Arial"/>
                <w:color w:val="111111"/>
              </w:rPr>
              <w:t>OpenAI</w:t>
            </w:r>
            <w:proofErr w:type="spellEnd"/>
            <w:r>
              <w:rPr>
                <w:rFonts w:ascii="Arial" w:eastAsia="Arial" w:hAnsi="Arial" w:cs="Arial"/>
                <w:color w:val="111111"/>
              </w:rPr>
              <w:t xml:space="preserve"> API format; configure URL and key</w:t>
            </w:r>
          </w:p>
        </w:tc>
      </w:tr>
    </w:tbl>
    <w:p w14:paraId="73ACC848" w14:textId="77777777" w:rsidR="00A60164" w:rsidRDefault="00414275">
      <w:pPr>
        <w:spacing w:after="160" w:line="276" w:lineRule="auto"/>
      </w:pPr>
      <w:r>
        <w:rPr>
          <w:rFonts w:ascii="Arial" w:eastAsia="Arial" w:hAnsi="Arial" w:cs="Arial"/>
          <w:color w:val="111111"/>
          <w:sz w:val="22"/>
          <w:szCs w:val="22"/>
        </w:rPr>
        <w:t>After selecting a provider, enter your API key. The key is stored in the Windows Credential Store — not in the application database. It is not visible in plain text after you save it unless you toggle the reveal button.</w:t>
      </w:r>
    </w:p>
    <w:p w14:paraId="468C6ACA" w14:textId="77777777" w:rsidR="00A60164" w:rsidRDefault="00414275">
      <w:pPr>
        <w:spacing w:after="160" w:line="276" w:lineRule="auto"/>
      </w:pPr>
      <w:r>
        <w:rPr>
          <w:rFonts w:ascii="Arial" w:eastAsia="Arial" w:hAnsi="Arial" w:cs="Arial"/>
          <w:color w:val="111111"/>
          <w:sz w:val="22"/>
          <w:szCs w:val="22"/>
        </w:rPr>
        <w:t>Select a model from the list provide</w:t>
      </w:r>
      <w:r>
        <w:rPr>
          <w:rFonts w:ascii="Arial" w:eastAsia="Arial" w:hAnsi="Arial" w:cs="Arial"/>
          <w:color w:val="111111"/>
          <w:sz w:val="22"/>
          <w:szCs w:val="22"/>
        </w:rPr>
        <w:t>d for your chosen provider, or type a model name directly if yours is not listed. Optionally adjust the temperature (default 0.3) for more or less creative output.</w:t>
      </w:r>
    </w:p>
    <w:p w14:paraId="13E9B24F" w14:textId="77777777" w:rsidR="00A60164" w:rsidRDefault="00414275">
      <w:pPr>
        <w:spacing w:after="160" w:line="276" w:lineRule="auto"/>
        <w:ind w:left="720"/>
      </w:pPr>
      <w:r>
        <w:rPr>
          <w:rFonts w:ascii="Arial" w:eastAsia="Arial" w:hAnsi="Arial" w:cs="Arial"/>
          <w:i/>
          <w:iCs/>
          <w:color w:val="6B7280"/>
        </w:rPr>
        <w:t>All AI features require a Professional licence. The AI Configuration tab is visible on all t</w:t>
      </w:r>
      <w:r>
        <w:rPr>
          <w:rFonts w:ascii="Arial" w:eastAsia="Arial" w:hAnsi="Arial" w:cs="Arial"/>
          <w:i/>
          <w:iCs/>
          <w:color w:val="6B7280"/>
        </w:rPr>
        <w:t>iers so you can set up your key in advance, but AI buttons throughout the app are disabled until you upgrade.</w:t>
      </w:r>
    </w:p>
    <w:p w14:paraId="076A3BE5" w14:textId="77777777" w:rsidR="00A60164" w:rsidRDefault="00414275">
      <w:pPr>
        <w:pStyle w:val="Heading2"/>
        <w:spacing w:before="300" w:after="160"/>
      </w:pPr>
      <w:r>
        <w:rPr>
          <w:rFonts w:ascii="Arial" w:eastAsia="Arial" w:hAnsi="Arial" w:cs="Arial"/>
          <w:b/>
          <w:bCs/>
          <w:color w:val="2A7D6B"/>
          <w:sz w:val="32"/>
          <w:szCs w:val="32"/>
        </w:rPr>
        <w:t>Preferences</w:t>
      </w:r>
    </w:p>
    <w:p w14:paraId="118886B4" w14:textId="77777777" w:rsidR="00A60164" w:rsidRDefault="00414275">
      <w:pPr>
        <w:spacing w:after="160" w:line="276" w:lineRule="auto"/>
      </w:pPr>
      <w:r>
        <w:rPr>
          <w:rFonts w:ascii="Arial" w:eastAsia="Arial" w:hAnsi="Arial" w:cs="Arial"/>
          <w:color w:val="111111"/>
          <w:sz w:val="22"/>
          <w:szCs w:val="22"/>
        </w:rPr>
        <w:t>The Preferences tab controls application-wide defaults:</w:t>
      </w:r>
    </w:p>
    <w:p w14:paraId="3DA457F2"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Default Maturity Tier — the pre-selected tier for Answer Library questions: Ea</w:t>
      </w:r>
      <w:r>
        <w:rPr>
          <w:rFonts w:ascii="Arial" w:eastAsia="Arial" w:hAnsi="Arial" w:cs="Arial"/>
          <w:color w:val="111111"/>
          <w:sz w:val="22"/>
          <w:szCs w:val="22"/>
        </w:rPr>
        <w:t>rly Stage, Established, or Mature.</w:t>
      </w:r>
    </w:p>
    <w:p w14:paraId="64CEAD5D"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Default Export Format — whether Export defaults to XLSX or CSV in import sessions.</w:t>
      </w:r>
    </w:p>
    <w:p w14:paraId="67DDA971"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Session Timeout — how long the application can be idle before requiring you to log in again (default 30 minutes).</w:t>
      </w:r>
    </w:p>
    <w:p w14:paraId="3DBA3A07" w14:textId="77777777" w:rsidR="00A60164" w:rsidRDefault="00414275">
      <w:pPr>
        <w:pStyle w:val="Heading2"/>
        <w:spacing w:before="300" w:after="160"/>
      </w:pPr>
      <w:r>
        <w:rPr>
          <w:rFonts w:ascii="Arial" w:eastAsia="Arial" w:hAnsi="Arial" w:cs="Arial"/>
          <w:b/>
          <w:bCs/>
          <w:color w:val="2A7D6B"/>
          <w:sz w:val="32"/>
          <w:szCs w:val="32"/>
        </w:rPr>
        <w:t>Licence Management</w:t>
      </w:r>
    </w:p>
    <w:p w14:paraId="2C51008D" w14:textId="77777777" w:rsidR="00A60164" w:rsidRDefault="00414275">
      <w:pPr>
        <w:spacing w:after="160" w:line="276" w:lineRule="auto"/>
      </w:pPr>
      <w:r>
        <w:rPr>
          <w:rFonts w:ascii="Arial" w:eastAsia="Arial" w:hAnsi="Arial" w:cs="Arial"/>
          <w:color w:val="111111"/>
          <w:sz w:val="22"/>
          <w:szCs w:val="22"/>
        </w:rPr>
        <w:t>The L</w:t>
      </w:r>
      <w:r>
        <w:rPr>
          <w:rFonts w:ascii="Arial" w:eastAsia="Arial" w:hAnsi="Arial" w:cs="Arial"/>
          <w:color w:val="111111"/>
          <w:sz w:val="22"/>
          <w:szCs w:val="22"/>
        </w:rPr>
        <w:t>icence tab shows your current licence status: tier (Community or Professional), organisation name, activation date, expiry date, days remaining, and whether the current licence is an evaluation.</w:t>
      </w:r>
    </w:p>
    <w:p w14:paraId="3A8EEB2D" w14:textId="77777777" w:rsidR="00A60164" w:rsidRDefault="00414275">
      <w:pPr>
        <w:spacing w:after="160" w:line="276" w:lineRule="auto"/>
      </w:pPr>
      <w:r>
        <w:rPr>
          <w:rFonts w:ascii="Arial" w:eastAsia="Arial" w:hAnsi="Arial" w:cs="Arial"/>
          <w:color w:val="111111"/>
          <w:sz w:val="22"/>
          <w:szCs w:val="22"/>
        </w:rPr>
        <w:t>To activate a purchased licence key:</w:t>
      </w:r>
    </w:p>
    <w:p w14:paraId="17E101E7" w14:textId="77777777" w:rsidR="00A60164" w:rsidRDefault="00414275">
      <w:pPr>
        <w:pStyle w:val="ListParagraph"/>
        <w:numPr>
          <w:ilvl w:val="0"/>
          <w:numId w:val="2"/>
        </w:numPr>
        <w:spacing w:after="80" w:line="276" w:lineRule="auto"/>
      </w:pPr>
      <w:r>
        <w:rPr>
          <w:rFonts w:ascii="Arial" w:eastAsia="Arial" w:hAnsi="Arial" w:cs="Arial"/>
          <w:color w:val="111111"/>
          <w:sz w:val="22"/>
          <w:szCs w:val="22"/>
        </w:rPr>
        <w:t>Paste your licence key into the Licence Key field.</w:t>
      </w:r>
    </w:p>
    <w:p w14:paraId="2E12CB9E" w14:textId="77777777" w:rsidR="00A60164" w:rsidRDefault="00414275">
      <w:pPr>
        <w:pStyle w:val="ListParagraph"/>
        <w:numPr>
          <w:ilvl w:val="0"/>
          <w:numId w:val="2"/>
        </w:numPr>
        <w:spacing w:after="80" w:line="276" w:lineRule="auto"/>
      </w:pPr>
      <w:r>
        <w:rPr>
          <w:rFonts w:ascii="Arial" w:eastAsia="Arial" w:hAnsi="Arial" w:cs="Arial"/>
          <w:color w:val="111111"/>
          <w:sz w:val="22"/>
          <w:szCs w:val="22"/>
        </w:rPr>
        <w:t>Click Activate Licence.</w:t>
      </w:r>
    </w:p>
    <w:p w14:paraId="221A37EE" w14:textId="77777777" w:rsidR="00A60164" w:rsidRDefault="00414275">
      <w:pPr>
        <w:pStyle w:val="ListParagraph"/>
        <w:numPr>
          <w:ilvl w:val="0"/>
          <w:numId w:val="2"/>
        </w:numPr>
        <w:spacing w:after="80" w:line="276" w:lineRule="auto"/>
      </w:pPr>
      <w:r>
        <w:rPr>
          <w:rFonts w:ascii="Arial" w:eastAsia="Arial" w:hAnsi="Arial" w:cs="Arial"/>
          <w:color w:val="111111"/>
          <w:sz w:val="22"/>
          <w:szCs w:val="22"/>
        </w:rPr>
        <w:t>The status display updates immediately if the key is valid.</w:t>
      </w:r>
    </w:p>
    <w:p w14:paraId="62E05C88" w14:textId="77777777" w:rsidR="00A60164" w:rsidRDefault="00414275">
      <w:pPr>
        <w:spacing w:after="160" w:line="276" w:lineRule="auto"/>
        <w:ind w:left="720"/>
      </w:pPr>
      <w:r>
        <w:rPr>
          <w:rFonts w:ascii="Arial" w:eastAsia="Arial" w:hAnsi="Arial" w:cs="Arial"/>
          <w:i/>
          <w:iCs/>
          <w:color w:val="6B7280"/>
        </w:rPr>
        <w:lastRenderedPageBreak/>
        <w:t xml:space="preserve">Licence validation is performed entirely offline using a cryptographic signature — no internet connection is required to </w:t>
      </w:r>
      <w:r>
        <w:rPr>
          <w:rFonts w:ascii="Arial" w:eastAsia="Arial" w:hAnsi="Arial" w:cs="Arial"/>
          <w:i/>
          <w:iCs/>
          <w:color w:val="6B7280"/>
        </w:rPr>
        <w:t>activate a key.</w:t>
      </w:r>
    </w:p>
    <w:p w14:paraId="544ABAA7" w14:textId="77777777" w:rsidR="00A60164" w:rsidRDefault="00414275">
      <w:pPr>
        <w:pStyle w:val="Heading2"/>
        <w:spacing w:before="300" w:after="160"/>
      </w:pPr>
      <w:r>
        <w:rPr>
          <w:rFonts w:ascii="Arial" w:eastAsia="Arial" w:hAnsi="Arial" w:cs="Arial"/>
          <w:b/>
          <w:bCs/>
          <w:color w:val="2A7D6B"/>
          <w:sz w:val="32"/>
          <w:szCs w:val="32"/>
        </w:rPr>
        <w:t>Account</w:t>
      </w:r>
    </w:p>
    <w:p w14:paraId="51E76C10" w14:textId="77777777" w:rsidR="00A60164" w:rsidRDefault="00414275">
      <w:pPr>
        <w:spacing w:after="160" w:line="276" w:lineRule="auto"/>
      </w:pPr>
      <w:r>
        <w:rPr>
          <w:rFonts w:ascii="Arial" w:eastAsia="Arial" w:hAnsi="Arial" w:cs="Arial"/>
          <w:color w:val="111111"/>
          <w:sz w:val="22"/>
          <w:szCs w:val="22"/>
        </w:rPr>
        <w:t>The Account tab lets you change your password. Enter your current password, then your new password (minimum 12 characters) twice to confirm, and click Change Password. Your session remains active after a password change.</w:t>
      </w:r>
    </w:p>
    <w:p w14:paraId="36298205" w14:textId="77777777" w:rsidR="00A60164" w:rsidRDefault="00414275">
      <w:pPr>
        <w:pStyle w:val="Heading2"/>
        <w:spacing w:before="300" w:after="160"/>
      </w:pPr>
      <w:r>
        <w:rPr>
          <w:rFonts w:ascii="Arial" w:eastAsia="Arial" w:hAnsi="Arial" w:cs="Arial"/>
          <w:b/>
          <w:bCs/>
          <w:color w:val="2A7D6B"/>
          <w:sz w:val="32"/>
          <w:szCs w:val="32"/>
        </w:rPr>
        <w:t>User Manage</w:t>
      </w:r>
      <w:r>
        <w:rPr>
          <w:rFonts w:ascii="Arial" w:eastAsia="Arial" w:hAnsi="Arial" w:cs="Arial"/>
          <w:b/>
          <w:bCs/>
          <w:color w:val="2A7D6B"/>
          <w:sz w:val="32"/>
          <w:szCs w:val="32"/>
        </w:rPr>
        <w:t>ment</w:t>
      </w:r>
    </w:p>
    <w:p w14:paraId="716DDC58" w14:textId="77777777" w:rsidR="00A60164" w:rsidRDefault="00414275">
      <w:pPr>
        <w:spacing w:after="160" w:line="276" w:lineRule="auto"/>
      </w:pPr>
      <w:r>
        <w:rPr>
          <w:rFonts w:ascii="Arial" w:eastAsia="Arial" w:hAnsi="Arial" w:cs="Arial"/>
          <w:color w:val="111111"/>
          <w:sz w:val="22"/>
          <w:szCs w:val="22"/>
        </w:rPr>
        <w:t>The User Management tab is visible only to administrators. It lists all user accounts in the system and lets you:</w:t>
      </w:r>
    </w:p>
    <w:p w14:paraId="1EAB16B4"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Add User — create a new local, Active Directory, or Entra ID account. Local accounts require a username, display name, role, and password</w:t>
      </w:r>
      <w:r>
        <w:rPr>
          <w:rFonts w:ascii="Arial" w:eastAsia="Arial" w:hAnsi="Arial" w:cs="Arial"/>
          <w:color w:val="111111"/>
          <w:sz w:val="22"/>
          <w:szCs w:val="22"/>
        </w:rPr>
        <w:t>.</w:t>
      </w:r>
    </w:p>
    <w:p w14:paraId="2492BF40"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Change Role — toggle a user between Admin and Viewer roles. There must always be at least one active admin.</w:t>
      </w:r>
    </w:p>
    <w:p w14:paraId="2CBFB525"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Reset Password — set a new password for any user.</w:t>
      </w:r>
    </w:p>
    <w:p w14:paraId="51951D70"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Deactivate / Activate — suspend a user's access without deleting their account.</w:t>
      </w:r>
    </w:p>
    <w:p w14:paraId="60973916"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Delete User — permanently remove a user account. This cannot be undone.</w:t>
      </w:r>
    </w:p>
    <w:p w14:paraId="2475F44F" w14:textId="77777777" w:rsidR="00A60164" w:rsidRDefault="00414275">
      <w:pPr>
        <w:spacing w:after="160" w:line="276" w:lineRule="auto"/>
      </w:pPr>
      <w:r>
        <w:rPr>
          <w:rFonts w:ascii="Arial" w:eastAsia="Arial" w:hAnsi="Arial" w:cs="Arial"/>
          <w:color w:val="111111"/>
          <w:sz w:val="22"/>
          <w:szCs w:val="22"/>
        </w:rPr>
        <w:t>Roles: Admin accounts have full access to all features including Settings and User Management. Viewer ac</w:t>
      </w:r>
      <w:r>
        <w:rPr>
          <w:rFonts w:ascii="Arial" w:eastAsia="Arial" w:hAnsi="Arial" w:cs="Arial"/>
          <w:color w:val="111111"/>
          <w:sz w:val="22"/>
          <w:szCs w:val="22"/>
        </w:rPr>
        <w:t>counts can read data but cannot create, edit, or delete records.</w:t>
      </w:r>
    </w:p>
    <w:p w14:paraId="5C2A4314" w14:textId="77777777" w:rsidR="00A60164" w:rsidRDefault="00414275">
      <w:pPr>
        <w:pStyle w:val="Heading2"/>
        <w:spacing w:before="300" w:after="160"/>
      </w:pPr>
      <w:r>
        <w:rPr>
          <w:rFonts w:ascii="Arial" w:eastAsia="Arial" w:hAnsi="Arial" w:cs="Arial"/>
          <w:b/>
          <w:bCs/>
          <w:color w:val="2A7D6B"/>
          <w:sz w:val="32"/>
          <w:szCs w:val="32"/>
        </w:rPr>
        <w:t>Data Management</w:t>
      </w:r>
    </w:p>
    <w:p w14:paraId="5C5C41F0" w14:textId="77777777" w:rsidR="00A60164" w:rsidRDefault="00414275">
      <w:pPr>
        <w:spacing w:after="160" w:line="276" w:lineRule="auto"/>
      </w:pPr>
      <w:r>
        <w:rPr>
          <w:rFonts w:ascii="Arial" w:eastAsia="Arial" w:hAnsi="Arial" w:cs="Arial"/>
          <w:color w:val="111111"/>
          <w:sz w:val="22"/>
          <w:szCs w:val="22"/>
        </w:rPr>
        <w:t>The Data Management tab provides two operations:</w:t>
      </w:r>
    </w:p>
    <w:p w14:paraId="5A5A6EB3"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Export Backup — exports all your data (company profile, gap answers, assessments, history, Trust Center config, custom answers</w:t>
      </w:r>
      <w:r>
        <w:rPr>
          <w:rFonts w:ascii="Arial" w:eastAsia="Arial" w:hAnsi="Arial" w:cs="Arial"/>
          <w:color w:val="111111"/>
          <w:sz w:val="22"/>
          <w:szCs w:val="22"/>
        </w:rPr>
        <w:t>, compliance mappings) as a single JSON file. Use this to back up your data or transfer it to another machine.</w:t>
      </w:r>
    </w:p>
    <w:p w14:paraId="5A55B30D"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Import Backup — restores data from a previously exported backup JSON file. This merges the imported data with any existing data; it does not repl</w:t>
      </w:r>
      <w:r>
        <w:rPr>
          <w:rFonts w:ascii="Arial" w:eastAsia="Arial" w:hAnsi="Arial" w:cs="Arial"/>
          <w:color w:val="111111"/>
          <w:sz w:val="22"/>
          <w:szCs w:val="22"/>
        </w:rPr>
        <w:t>ace it wholesale.</w:t>
      </w:r>
    </w:p>
    <w:p w14:paraId="24C2D463" w14:textId="77777777" w:rsidR="00A60164" w:rsidRDefault="00414275">
      <w:pPr>
        <w:pStyle w:val="Heading2"/>
        <w:spacing w:before="300" w:after="160"/>
      </w:pPr>
      <w:r>
        <w:rPr>
          <w:rFonts w:ascii="Arial" w:eastAsia="Arial" w:hAnsi="Arial" w:cs="Arial"/>
          <w:b/>
          <w:bCs/>
          <w:color w:val="2A7D6B"/>
          <w:sz w:val="32"/>
          <w:szCs w:val="32"/>
        </w:rPr>
        <w:t>Danger Zone</w:t>
      </w:r>
    </w:p>
    <w:p w14:paraId="615AAB8F" w14:textId="77777777" w:rsidR="00A60164" w:rsidRDefault="00414275">
      <w:pPr>
        <w:spacing w:after="160" w:line="276" w:lineRule="auto"/>
      </w:pPr>
      <w:r>
        <w:rPr>
          <w:rFonts w:ascii="Arial" w:eastAsia="Arial" w:hAnsi="Arial" w:cs="Arial"/>
          <w:color w:val="111111"/>
          <w:sz w:val="22"/>
          <w:szCs w:val="22"/>
        </w:rPr>
        <w:t>The Danger Zone tab contains destructive operations that cannot be undone. Each action requires a confirmation prompt before proceeding:</w:t>
      </w:r>
    </w:p>
    <w:p w14:paraId="6E7485BB"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Reset Company Profile — clears all company profile fields and restores defaults.</w:t>
      </w:r>
    </w:p>
    <w:p w14:paraId="073B4FA6"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Reset AI</w:t>
      </w:r>
      <w:r>
        <w:rPr>
          <w:rFonts w:ascii="Arial" w:eastAsia="Arial" w:hAnsi="Arial" w:cs="Arial"/>
          <w:color w:val="111111"/>
          <w:sz w:val="22"/>
          <w:szCs w:val="22"/>
        </w:rPr>
        <w:t xml:space="preserve"> Settings — clears your AI provider, model, and API key configuration.</w:t>
      </w:r>
    </w:p>
    <w:p w14:paraId="096B3866"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Delete All Data — wipes all user-generated data: gap answers, assessments, Trust Center state, import sessions, history, custom templates, and custom answers. User accounts and audit lo</w:t>
      </w:r>
      <w:r>
        <w:rPr>
          <w:rFonts w:ascii="Arial" w:eastAsia="Arial" w:hAnsi="Arial" w:cs="Arial"/>
          <w:color w:val="111111"/>
          <w:sz w:val="22"/>
          <w:szCs w:val="22"/>
        </w:rPr>
        <w:t>gs are preserved.</w:t>
      </w:r>
    </w:p>
    <w:p w14:paraId="715F5128" w14:textId="77777777" w:rsidR="00A60164" w:rsidRDefault="00414275">
      <w:r>
        <w:br w:type="page"/>
      </w:r>
    </w:p>
    <w:p w14:paraId="70B95CE5" w14:textId="77777777" w:rsidR="00A60164" w:rsidRDefault="00414275">
      <w:pPr>
        <w:pStyle w:val="Heading1"/>
        <w:spacing w:before="400" w:after="200"/>
      </w:pPr>
      <w:r>
        <w:rPr>
          <w:rFonts w:ascii="Arial" w:eastAsia="Arial" w:hAnsi="Arial" w:cs="Arial"/>
          <w:b/>
          <w:bCs/>
          <w:color w:val="0F2B3D"/>
          <w:sz w:val="48"/>
          <w:szCs w:val="48"/>
        </w:rPr>
        <w:lastRenderedPageBreak/>
        <w:t>Chapter 15: Security and Data Protection</w:t>
      </w:r>
    </w:p>
    <w:p w14:paraId="122DB6A7" w14:textId="77777777" w:rsidR="00A60164" w:rsidRDefault="00414275">
      <w:pPr>
        <w:pStyle w:val="Heading2"/>
        <w:spacing w:before="300" w:after="160"/>
      </w:pPr>
      <w:r>
        <w:rPr>
          <w:rFonts w:ascii="Arial" w:eastAsia="Arial" w:hAnsi="Arial" w:cs="Arial"/>
          <w:b/>
          <w:bCs/>
          <w:color w:val="2A7D6B"/>
          <w:sz w:val="32"/>
          <w:szCs w:val="32"/>
        </w:rPr>
        <w:t>Data Encryption</w:t>
      </w:r>
    </w:p>
    <w:p w14:paraId="7EC4E913" w14:textId="77777777" w:rsidR="00A60164" w:rsidRDefault="00414275">
      <w:pPr>
        <w:spacing w:after="160" w:line="276" w:lineRule="auto"/>
      </w:pPr>
      <w:r>
        <w:rPr>
          <w:rFonts w:ascii="Arial" w:eastAsia="Arial" w:hAnsi="Arial" w:cs="Arial"/>
          <w:color w:val="111111"/>
          <w:sz w:val="22"/>
          <w:szCs w:val="22"/>
        </w:rPr>
        <w:t>All data is stored in a local SQLite database (</w:t>
      </w:r>
      <w:proofErr w:type="spellStart"/>
      <w:r>
        <w:rPr>
          <w:rFonts w:ascii="Arial" w:eastAsia="Arial" w:hAnsi="Arial" w:cs="Arial"/>
          <w:color w:val="111111"/>
          <w:sz w:val="22"/>
          <w:szCs w:val="22"/>
        </w:rPr>
        <w:t>ridgeguard.db</w:t>
      </w:r>
      <w:proofErr w:type="spellEnd"/>
      <w:r>
        <w:rPr>
          <w:rFonts w:ascii="Arial" w:eastAsia="Arial" w:hAnsi="Arial" w:cs="Arial"/>
          <w:color w:val="111111"/>
          <w:sz w:val="22"/>
          <w:szCs w:val="22"/>
        </w:rPr>
        <w:t>) encrypted with AES-256-GCM. The database encryption key is a random 32-byte key generated once at first setup. It is never stored in plaintext — it is wrapped by each user's Argon2id-derived key</w:t>
      </w:r>
      <w:r>
        <w:rPr>
          <w:rFonts w:ascii="Arial" w:eastAsia="Arial" w:hAnsi="Arial" w:cs="Arial"/>
          <w:color w:val="111111"/>
          <w:sz w:val="22"/>
          <w:szCs w:val="22"/>
        </w:rPr>
        <w:t xml:space="preserve"> and stored separately in the key store database (</w:t>
      </w:r>
      <w:proofErr w:type="spellStart"/>
      <w:r>
        <w:rPr>
          <w:rFonts w:ascii="Arial" w:eastAsia="Arial" w:hAnsi="Arial" w:cs="Arial"/>
          <w:color w:val="111111"/>
          <w:sz w:val="22"/>
          <w:szCs w:val="22"/>
        </w:rPr>
        <w:t>ridgeguard_keys.db</w:t>
      </w:r>
      <w:proofErr w:type="spellEnd"/>
      <w:r>
        <w:rPr>
          <w:rFonts w:ascii="Arial" w:eastAsia="Arial" w:hAnsi="Arial" w:cs="Arial"/>
          <w:color w:val="111111"/>
          <w:sz w:val="22"/>
          <w:szCs w:val="22"/>
        </w:rPr>
        <w:t>).</w:t>
      </w:r>
    </w:p>
    <w:p w14:paraId="632E77E2" w14:textId="77777777" w:rsidR="00A60164" w:rsidRDefault="00414275">
      <w:pPr>
        <w:spacing w:after="160" w:line="276" w:lineRule="auto"/>
      </w:pPr>
      <w:r>
        <w:rPr>
          <w:rFonts w:ascii="Arial" w:eastAsia="Arial" w:hAnsi="Arial" w:cs="Arial"/>
          <w:color w:val="111111"/>
          <w:sz w:val="22"/>
          <w:szCs w:val="22"/>
        </w:rPr>
        <w:t xml:space="preserve">This means that even if someone copies the database files from your machine, they cannot read the data without your password. The encrypted file on disk looks like random bytes with no </w:t>
      </w:r>
      <w:r>
        <w:rPr>
          <w:rFonts w:ascii="Arial" w:eastAsia="Arial" w:hAnsi="Arial" w:cs="Arial"/>
          <w:color w:val="111111"/>
          <w:sz w:val="22"/>
          <w:szCs w:val="22"/>
        </w:rPr>
        <w:t>recognisable structure.</w:t>
      </w:r>
    </w:p>
    <w:p w14:paraId="08BA0E38" w14:textId="77777777" w:rsidR="00A60164" w:rsidRDefault="00414275">
      <w:pPr>
        <w:pStyle w:val="Heading2"/>
        <w:spacing w:before="300" w:after="160"/>
      </w:pPr>
      <w:r>
        <w:rPr>
          <w:rFonts w:ascii="Arial" w:eastAsia="Arial" w:hAnsi="Arial" w:cs="Arial"/>
          <w:b/>
          <w:bCs/>
          <w:color w:val="2A7D6B"/>
          <w:sz w:val="32"/>
          <w:szCs w:val="32"/>
        </w:rPr>
        <w:t>Storage Location</w:t>
      </w:r>
    </w:p>
    <w:p w14:paraId="64C02A25" w14:textId="77777777" w:rsidR="00A60164" w:rsidRDefault="00414275">
      <w:pPr>
        <w:spacing w:after="160" w:line="276" w:lineRule="auto"/>
      </w:pPr>
      <w:r>
        <w:rPr>
          <w:rFonts w:ascii="Arial" w:eastAsia="Arial" w:hAnsi="Arial" w:cs="Arial"/>
          <w:color w:val="111111"/>
          <w:sz w:val="22"/>
          <w:szCs w:val="22"/>
        </w:rPr>
        <w:t xml:space="preserve">Ridgeguard stores all application data in the Windows </w:t>
      </w:r>
      <w:proofErr w:type="spellStart"/>
      <w:r>
        <w:rPr>
          <w:rFonts w:ascii="Arial" w:eastAsia="Arial" w:hAnsi="Arial" w:cs="Arial"/>
          <w:color w:val="111111"/>
          <w:sz w:val="22"/>
          <w:szCs w:val="22"/>
        </w:rPr>
        <w:t>AppData</w:t>
      </w:r>
      <w:proofErr w:type="spellEnd"/>
      <w:r>
        <w:rPr>
          <w:rFonts w:ascii="Arial" w:eastAsia="Arial" w:hAnsi="Arial" w:cs="Arial"/>
          <w:color w:val="111111"/>
          <w:sz w:val="22"/>
          <w:szCs w:val="22"/>
        </w:rPr>
        <w:t xml:space="preserve"> directory:</w:t>
      </w:r>
    </w:p>
    <w:p w14:paraId="3B1DC94C" w14:textId="77777777" w:rsidR="00A60164" w:rsidRDefault="00414275">
      <w:pPr>
        <w:spacing w:after="160" w:line="276" w:lineRule="auto"/>
      </w:pPr>
      <w:r>
        <w:rPr>
          <w:rFonts w:ascii="Arial" w:eastAsia="Arial" w:hAnsi="Arial" w:cs="Arial"/>
          <w:color w:val="111111"/>
          <w:sz w:val="22"/>
          <w:szCs w:val="22"/>
        </w:rPr>
        <w:t>%APPDATA%\</w:t>
      </w:r>
      <w:proofErr w:type="spellStart"/>
      <w:r>
        <w:rPr>
          <w:rFonts w:ascii="Arial" w:eastAsia="Arial" w:hAnsi="Arial" w:cs="Arial"/>
          <w:color w:val="111111"/>
          <w:sz w:val="22"/>
          <w:szCs w:val="22"/>
        </w:rPr>
        <w:t>com.ridgelinecyber.ridgeguard</w:t>
      </w:r>
      <w:proofErr w:type="spellEnd"/>
      <w:r>
        <w:rPr>
          <w:rFonts w:ascii="Arial" w:eastAsia="Arial" w:hAnsi="Arial" w:cs="Arial"/>
          <w:color w:val="111111"/>
          <w:sz w:val="22"/>
          <w:szCs w:val="22"/>
        </w:rPr>
        <w:t>\</w:t>
      </w:r>
    </w:p>
    <w:p w14:paraId="00C04C1E" w14:textId="77777777" w:rsidR="00A60164" w:rsidRDefault="00414275">
      <w:pPr>
        <w:spacing w:after="160" w:line="276" w:lineRule="auto"/>
      </w:pPr>
      <w:r>
        <w:rPr>
          <w:rFonts w:ascii="Arial" w:eastAsia="Arial" w:hAnsi="Arial" w:cs="Arial"/>
          <w:color w:val="111111"/>
          <w:sz w:val="22"/>
          <w:szCs w:val="22"/>
        </w:rPr>
        <w:t>This folder contains the encrypted database, the key store, and a rate limiter state file. It does no</w:t>
      </w:r>
      <w:r>
        <w:rPr>
          <w:rFonts w:ascii="Arial" w:eastAsia="Arial" w:hAnsi="Arial" w:cs="Arial"/>
          <w:color w:val="111111"/>
          <w:sz w:val="22"/>
          <w:szCs w:val="22"/>
        </w:rPr>
        <w:t>t contain your API keys, which are stored in the Windows Credential Store.</w:t>
      </w:r>
    </w:p>
    <w:p w14:paraId="6C34D6C4" w14:textId="77777777" w:rsidR="00A60164" w:rsidRDefault="00414275">
      <w:pPr>
        <w:pStyle w:val="Heading2"/>
        <w:spacing w:before="300" w:after="160"/>
      </w:pPr>
      <w:r>
        <w:rPr>
          <w:rFonts w:ascii="Arial" w:eastAsia="Arial" w:hAnsi="Arial" w:cs="Arial"/>
          <w:b/>
          <w:bCs/>
          <w:color w:val="2A7D6B"/>
          <w:sz w:val="32"/>
          <w:szCs w:val="32"/>
        </w:rPr>
        <w:t>Keychain Auto-Unlock</w:t>
      </w:r>
    </w:p>
    <w:p w14:paraId="421FFC10" w14:textId="77777777" w:rsidR="00A60164" w:rsidRDefault="00414275">
      <w:pPr>
        <w:spacing w:after="160" w:line="276" w:lineRule="auto"/>
      </w:pPr>
      <w:r>
        <w:rPr>
          <w:rFonts w:ascii="Arial" w:eastAsia="Arial" w:hAnsi="Arial" w:cs="Arial"/>
          <w:color w:val="111111"/>
          <w:sz w:val="22"/>
          <w:szCs w:val="22"/>
        </w:rPr>
        <w:t>On single-user installations, Ridgeguard can store the database unlock key in the Windows Credential Store and use it to log you in automatically when the app s</w:t>
      </w:r>
      <w:r>
        <w:rPr>
          <w:rFonts w:ascii="Arial" w:eastAsia="Arial" w:hAnsi="Arial" w:cs="Arial"/>
          <w:color w:val="111111"/>
          <w:sz w:val="22"/>
          <w:szCs w:val="22"/>
        </w:rPr>
        <w:t>tarts. This provides convenience without sacrificing encryption. The auto-unlock attempt times out after five seconds; if it fails, you are prompted to enter your password manually.</w:t>
      </w:r>
    </w:p>
    <w:p w14:paraId="6015D58A" w14:textId="77777777" w:rsidR="00A60164" w:rsidRDefault="00414275">
      <w:pPr>
        <w:pStyle w:val="Heading2"/>
        <w:spacing w:before="300" w:after="160"/>
      </w:pPr>
      <w:r>
        <w:rPr>
          <w:rFonts w:ascii="Arial" w:eastAsia="Arial" w:hAnsi="Arial" w:cs="Arial"/>
          <w:b/>
          <w:bCs/>
          <w:color w:val="2A7D6B"/>
          <w:sz w:val="32"/>
          <w:szCs w:val="32"/>
        </w:rPr>
        <w:t>Multi-User Support</w:t>
      </w:r>
    </w:p>
    <w:p w14:paraId="40AE0645" w14:textId="77777777" w:rsidR="00A60164" w:rsidRDefault="00414275">
      <w:pPr>
        <w:spacing w:after="160" w:line="276" w:lineRule="auto"/>
      </w:pPr>
      <w:r>
        <w:rPr>
          <w:rFonts w:ascii="Arial" w:eastAsia="Arial" w:hAnsi="Arial" w:cs="Arial"/>
          <w:color w:val="111111"/>
          <w:sz w:val="22"/>
          <w:szCs w:val="22"/>
        </w:rPr>
        <w:t>Ridgeguard supports multiple user accounts. Each user h</w:t>
      </w:r>
      <w:r>
        <w:rPr>
          <w:rFonts w:ascii="Arial" w:eastAsia="Arial" w:hAnsi="Arial" w:cs="Arial"/>
          <w:color w:val="111111"/>
          <w:sz w:val="22"/>
          <w:szCs w:val="22"/>
        </w:rPr>
        <w:t>as their own password, and the database key is wrapped separately for each user account. This means the database key is accessible to any active user but each user's password is their own. Admins can create, deactivate, and delete user accounts from Settin</w:t>
      </w:r>
      <w:r>
        <w:rPr>
          <w:rFonts w:ascii="Arial" w:eastAsia="Arial" w:hAnsi="Arial" w:cs="Arial"/>
          <w:color w:val="111111"/>
          <w:sz w:val="22"/>
          <w:szCs w:val="22"/>
        </w:rPr>
        <w:t>gs → User Management.</w:t>
      </w:r>
    </w:p>
    <w:p w14:paraId="6F33578F" w14:textId="77777777" w:rsidR="00A60164" w:rsidRDefault="00414275">
      <w:pPr>
        <w:pStyle w:val="Heading2"/>
        <w:spacing w:before="300" w:after="160"/>
      </w:pPr>
      <w:r>
        <w:rPr>
          <w:rFonts w:ascii="Arial" w:eastAsia="Arial" w:hAnsi="Arial" w:cs="Arial"/>
          <w:b/>
          <w:bCs/>
          <w:color w:val="2A7D6B"/>
          <w:sz w:val="32"/>
          <w:szCs w:val="32"/>
        </w:rPr>
        <w:t>Session Management</w:t>
      </w:r>
    </w:p>
    <w:p w14:paraId="1FB308A1" w14:textId="77777777" w:rsidR="00A60164" w:rsidRDefault="00414275">
      <w:pPr>
        <w:spacing w:after="160" w:line="276" w:lineRule="auto"/>
      </w:pPr>
      <w:r>
        <w:rPr>
          <w:rFonts w:ascii="Arial" w:eastAsia="Arial" w:hAnsi="Arial" w:cs="Arial"/>
          <w:color w:val="111111"/>
          <w:sz w:val="22"/>
          <w:szCs w:val="22"/>
        </w:rPr>
        <w:t>After login, a session is created that expires after 30 minutes of inactivity (configurable in Settings → Preferences). Every IPC call between the frontend and the backend touches the session timer, so the session s</w:t>
      </w:r>
      <w:r>
        <w:rPr>
          <w:rFonts w:ascii="Arial" w:eastAsia="Arial" w:hAnsi="Arial" w:cs="Arial"/>
          <w:color w:val="111111"/>
          <w:sz w:val="22"/>
          <w:szCs w:val="22"/>
        </w:rPr>
        <w:t>tays active as long as you are using the app. If the session expires, you are returned to the login screen automatically.</w:t>
      </w:r>
    </w:p>
    <w:p w14:paraId="325ECFBF" w14:textId="77777777" w:rsidR="00A60164" w:rsidRDefault="00414275">
      <w:pPr>
        <w:spacing w:after="160" w:line="276" w:lineRule="auto"/>
      </w:pPr>
      <w:r>
        <w:rPr>
          <w:rFonts w:ascii="Arial" w:eastAsia="Arial" w:hAnsi="Arial" w:cs="Arial"/>
          <w:color w:val="111111"/>
          <w:sz w:val="22"/>
          <w:szCs w:val="22"/>
        </w:rPr>
        <w:t>A login rate limiter protects against brute-force attacks. After repeated failed attempts, the account is temporarily locked. The lock</w:t>
      </w:r>
      <w:r>
        <w:rPr>
          <w:rFonts w:ascii="Arial" w:eastAsia="Arial" w:hAnsi="Arial" w:cs="Arial"/>
          <w:color w:val="111111"/>
          <w:sz w:val="22"/>
          <w:szCs w:val="22"/>
        </w:rPr>
        <w:t>out state persists across application restarts.</w:t>
      </w:r>
    </w:p>
    <w:p w14:paraId="7A54A242" w14:textId="77777777" w:rsidR="00A60164" w:rsidRDefault="00414275">
      <w:pPr>
        <w:pStyle w:val="Heading2"/>
        <w:spacing w:before="300" w:after="160"/>
      </w:pPr>
      <w:r>
        <w:rPr>
          <w:rFonts w:ascii="Arial" w:eastAsia="Arial" w:hAnsi="Arial" w:cs="Arial"/>
          <w:b/>
          <w:bCs/>
          <w:color w:val="2A7D6B"/>
          <w:sz w:val="32"/>
          <w:szCs w:val="32"/>
        </w:rPr>
        <w:t>Backup and Restore</w:t>
      </w:r>
    </w:p>
    <w:p w14:paraId="1BE1AFF2" w14:textId="77777777" w:rsidR="00A60164" w:rsidRDefault="00414275">
      <w:pPr>
        <w:spacing w:after="160" w:line="276" w:lineRule="auto"/>
      </w:pPr>
      <w:r>
        <w:rPr>
          <w:rFonts w:ascii="Arial" w:eastAsia="Arial" w:hAnsi="Arial" w:cs="Arial"/>
          <w:color w:val="111111"/>
          <w:sz w:val="22"/>
          <w:szCs w:val="22"/>
        </w:rPr>
        <w:lastRenderedPageBreak/>
        <w:t>Use Settings → Data Management → Export Backup to create a JSON backup of all your application data. This backup does not include your passwords or API keys — those are stored separately in</w:t>
      </w:r>
      <w:r>
        <w:rPr>
          <w:rFonts w:ascii="Arial" w:eastAsia="Arial" w:hAnsi="Arial" w:cs="Arial"/>
          <w:color w:val="111111"/>
          <w:sz w:val="22"/>
          <w:szCs w:val="22"/>
        </w:rPr>
        <w:t xml:space="preserve"> the Credential Store and database key files. To fully migrate to a new machine, copy both the data backup JSON and the database files from the </w:t>
      </w:r>
      <w:proofErr w:type="spellStart"/>
      <w:r>
        <w:rPr>
          <w:rFonts w:ascii="Arial" w:eastAsia="Arial" w:hAnsi="Arial" w:cs="Arial"/>
          <w:color w:val="111111"/>
          <w:sz w:val="22"/>
          <w:szCs w:val="22"/>
        </w:rPr>
        <w:t>AppData</w:t>
      </w:r>
      <w:proofErr w:type="spellEnd"/>
      <w:r>
        <w:rPr>
          <w:rFonts w:ascii="Arial" w:eastAsia="Arial" w:hAnsi="Arial" w:cs="Arial"/>
          <w:color w:val="111111"/>
          <w:sz w:val="22"/>
          <w:szCs w:val="22"/>
        </w:rPr>
        <w:t xml:space="preserve"> folder, then set up a new install and import the backup.</w:t>
      </w:r>
    </w:p>
    <w:p w14:paraId="3C279508" w14:textId="77777777" w:rsidR="00A60164" w:rsidRDefault="00414275">
      <w:pPr>
        <w:pStyle w:val="Heading2"/>
        <w:spacing w:before="300" w:after="160"/>
      </w:pPr>
      <w:r>
        <w:rPr>
          <w:rFonts w:ascii="Arial" w:eastAsia="Arial" w:hAnsi="Arial" w:cs="Arial"/>
          <w:b/>
          <w:bCs/>
          <w:color w:val="2A7D6B"/>
          <w:sz w:val="32"/>
          <w:szCs w:val="32"/>
        </w:rPr>
        <w:t>Forgotten Password</w:t>
      </w:r>
    </w:p>
    <w:p w14:paraId="558D1DA2" w14:textId="77777777" w:rsidR="00A60164" w:rsidRDefault="00414275">
      <w:pPr>
        <w:spacing w:after="160" w:line="276" w:lineRule="auto"/>
      </w:pPr>
      <w:r>
        <w:rPr>
          <w:rFonts w:ascii="Arial" w:eastAsia="Arial" w:hAnsi="Arial" w:cs="Arial"/>
          <w:color w:val="111111"/>
          <w:sz w:val="22"/>
          <w:szCs w:val="22"/>
        </w:rPr>
        <w:t>If you forget your password,</w:t>
      </w:r>
      <w:r>
        <w:rPr>
          <w:rFonts w:ascii="Arial" w:eastAsia="Arial" w:hAnsi="Arial" w:cs="Arial"/>
          <w:color w:val="111111"/>
          <w:sz w:val="22"/>
          <w:szCs w:val="22"/>
        </w:rPr>
        <w:t xml:space="preserve"> there is no password reset facility — this is by design. Your password is the key to decrypting the database. Without it, the data cannot be recovered. If you are an admin, another admin can reset your password from Settings → User Management. If there is</w:t>
      </w:r>
      <w:r>
        <w:rPr>
          <w:rFonts w:ascii="Arial" w:eastAsia="Arial" w:hAnsi="Arial" w:cs="Arial"/>
          <w:color w:val="111111"/>
          <w:sz w:val="22"/>
          <w:szCs w:val="22"/>
        </w:rPr>
        <w:t xml:space="preserve"> only one user and you have forgotten the password, the application data cannot be recovered without the password.</w:t>
      </w:r>
    </w:p>
    <w:p w14:paraId="21B6C5DE" w14:textId="77777777" w:rsidR="00A60164" w:rsidRDefault="00414275">
      <w:pPr>
        <w:spacing w:after="160" w:line="276" w:lineRule="auto"/>
        <w:ind w:left="720"/>
      </w:pPr>
      <w:r>
        <w:rPr>
          <w:rFonts w:ascii="Arial" w:eastAsia="Arial" w:hAnsi="Arial" w:cs="Arial"/>
          <w:i/>
          <w:iCs/>
          <w:color w:val="6B7280"/>
        </w:rPr>
        <w:t>Keep your password in a password manager. The encryption is strong enough that even Ridgeline cannot recover your data if you lose your passw</w:t>
      </w:r>
      <w:r>
        <w:rPr>
          <w:rFonts w:ascii="Arial" w:eastAsia="Arial" w:hAnsi="Arial" w:cs="Arial"/>
          <w:i/>
          <w:iCs/>
          <w:color w:val="6B7280"/>
        </w:rPr>
        <w:t>ord.</w:t>
      </w:r>
    </w:p>
    <w:p w14:paraId="7BD18C58" w14:textId="497AB3F9" w:rsidR="00A60164" w:rsidRDefault="00A60164"/>
    <w:p w14:paraId="3101FCBD" w14:textId="77777777" w:rsidR="00A60164" w:rsidRDefault="00414275">
      <w:pPr>
        <w:pStyle w:val="Heading1"/>
        <w:spacing w:before="400" w:after="200"/>
      </w:pPr>
      <w:r>
        <w:rPr>
          <w:rFonts w:ascii="Arial" w:eastAsia="Arial" w:hAnsi="Arial" w:cs="Arial"/>
          <w:b/>
          <w:bCs/>
          <w:color w:val="0F2B3D"/>
          <w:sz w:val="48"/>
          <w:szCs w:val="48"/>
        </w:rPr>
        <w:t>Chapter 16: Licensing</w:t>
      </w:r>
    </w:p>
    <w:p w14:paraId="3449A060" w14:textId="77777777" w:rsidR="00A60164" w:rsidRDefault="00414275">
      <w:pPr>
        <w:pStyle w:val="Heading2"/>
        <w:spacing w:before="300" w:after="160"/>
      </w:pPr>
      <w:r>
        <w:rPr>
          <w:rFonts w:ascii="Arial" w:eastAsia="Arial" w:hAnsi="Arial" w:cs="Arial"/>
          <w:b/>
          <w:bCs/>
          <w:color w:val="2A7D6B"/>
          <w:sz w:val="32"/>
          <w:szCs w:val="32"/>
        </w:rPr>
        <w:t>Community Tier</w:t>
      </w:r>
    </w:p>
    <w:p w14:paraId="079A41D2" w14:textId="77777777" w:rsidR="00A60164" w:rsidRDefault="00414275">
      <w:pPr>
        <w:spacing w:after="160" w:line="276" w:lineRule="auto"/>
      </w:pPr>
      <w:r>
        <w:rPr>
          <w:rFonts w:ascii="Arial" w:eastAsia="Arial" w:hAnsi="Arial" w:cs="Arial"/>
          <w:color w:val="111111"/>
          <w:sz w:val="22"/>
          <w:szCs w:val="22"/>
        </w:rPr>
        <w:t>The Community tier is free with no time limit. It includes the Answer Library, Import Questionnaire with fuzzy matching, Gap Assessment (Standard 40 questions), CSV export, and basic Vendor Register and Policy Register features. No AI integration is includ</w:t>
      </w:r>
      <w:r>
        <w:rPr>
          <w:rFonts w:ascii="Arial" w:eastAsia="Arial" w:hAnsi="Arial" w:cs="Arial"/>
          <w:color w:val="111111"/>
          <w:sz w:val="22"/>
          <w:szCs w:val="22"/>
        </w:rPr>
        <w:t>ed.</w:t>
      </w:r>
    </w:p>
    <w:p w14:paraId="43DBB895" w14:textId="77777777" w:rsidR="00A60164" w:rsidRDefault="00414275">
      <w:pPr>
        <w:pStyle w:val="Heading2"/>
        <w:spacing w:before="300" w:after="160"/>
      </w:pPr>
      <w:r>
        <w:rPr>
          <w:rFonts w:ascii="Arial" w:eastAsia="Arial" w:hAnsi="Arial" w:cs="Arial"/>
          <w:b/>
          <w:bCs/>
          <w:color w:val="2A7D6B"/>
          <w:sz w:val="32"/>
          <w:szCs w:val="32"/>
        </w:rPr>
        <w:t>Professional Tier</w:t>
      </w:r>
    </w:p>
    <w:p w14:paraId="5F44F4CF" w14:textId="77777777" w:rsidR="00A60164" w:rsidRDefault="00414275">
      <w:pPr>
        <w:spacing w:after="160" w:line="276" w:lineRule="auto"/>
      </w:pPr>
      <w:r>
        <w:rPr>
          <w:rFonts w:ascii="Arial" w:eastAsia="Arial" w:hAnsi="Arial" w:cs="Arial"/>
          <w:color w:val="111111"/>
          <w:sz w:val="22"/>
          <w:szCs w:val="22"/>
        </w:rPr>
        <w:t>Professional adds the full feature set:</w:t>
      </w:r>
    </w:p>
    <w:p w14:paraId="73708A61"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AI integration — all AI-powered features across Import, Gap, and Vendor.</w:t>
      </w:r>
    </w:p>
    <w:p w14:paraId="3F799BA2"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Gap Assessment Comprehensive (80 questions).</w:t>
      </w:r>
    </w:p>
    <w:p w14:paraId="37545B03"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XLSX export for questionnaires and gap reports.</w:t>
      </w:r>
    </w:p>
    <w:p w14:paraId="3A344EAB"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Full Vendor Register — vendor assessments, response analysis, AI risk summaries, and risk events.</w:t>
      </w:r>
    </w:p>
    <w:p w14:paraId="03BAC207"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Full Policy Register — evidence linking.</w:t>
      </w:r>
    </w:p>
    <w:p w14:paraId="2EB23A18" w14:textId="77777777" w:rsidR="00A60164" w:rsidRDefault="00414275">
      <w:pPr>
        <w:pStyle w:val="ListParagraph"/>
        <w:numPr>
          <w:ilvl w:val="0"/>
          <w:numId w:val="1"/>
        </w:numPr>
        <w:spacing w:after="80" w:line="276" w:lineRule="auto"/>
      </w:pPr>
      <w:r>
        <w:rPr>
          <w:rFonts w:ascii="Arial" w:eastAsia="Arial" w:hAnsi="Arial" w:cs="Arial"/>
          <w:color w:val="111111"/>
          <w:sz w:val="22"/>
          <w:szCs w:val="22"/>
        </w:rPr>
        <w:t>Trust Center builder and HTML export.</w:t>
      </w:r>
    </w:p>
    <w:p w14:paraId="066B835D" w14:textId="77777777" w:rsidR="00A60164" w:rsidRDefault="00414275">
      <w:pPr>
        <w:pStyle w:val="Heading2"/>
        <w:spacing w:before="300" w:after="160"/>
      </w:pPr>
      <w:r>
        <w:rPr>
          <w:rFonts w:ascii="Arial" w:eastAsia="Arial" w:hAnsi="Arial" w:cs="Arial"/>
          <w:b/>
          <w:bCs/>
          <w:color w:val="2A7D6B"/>
          <w:sz w:val="32"/>
          <w:szCs w:val="32"/>
        </w:rPr>
        <w:t>Evaluation Licence</w:t>
      </w:r>
    </w:p>
    <w:p w14:paraId="659B35B0" w14:textId="77777777" w:rsidR="00A60164" w:rsidRDefault="00414275">
      <w:pPr>
        <w:spacing w:after="160" w:line="276" w:lineRule="auto"/>
      </w:pPr>
      <w:r>
        <w:rPr>
          <w:rFonts w:ascii="Arial" w:eastAsia="Arial" w:hAnsi="Arial" w:cs="Arial"/>
          <w:color w:val="111111"/>
          <w:sz w:val="22"/>
          <w:szCs w:val="22"/>
        </w:rPr>
        <w:t xml:space="preserve">Every fresh </w:t>
      </w:r>
      <w:r>
        <w:rPr>
          <w:rFonts w:ascii="Arial" w:eastAsia="Arial" w:hAnsi="Arial" w:cs="Arial"/>
          <w:color w:val="111111"/>
          <w:sz w:val="22"/>
          <w:szCs w:val="22"/>
        </w:rPr>
        <w:t>install activates a 30-day Professional evaluation automatically. The evaluation is registered to "Ridgeguard Eval" and the amber status bar indicates you are on an evaluation. You can continue using all Professional features until the evaluation expires.</w:t>
      </w:r>
    </w:p>
    <w:p w14:paraId="0E6795E7" w14:textId="77777777" w:rsidR="00A60164" w:rsidRDefault="00414275">
      <w:pPr>
        <w:pStyle w:val="Heading2"/>
        <w:spacing w:before="300" w:after="160"/>
      </w:pPr>
      <w:r>
        <w:rPr>
          <w:rFonts w:ascii="Arial" w:eastAsia="Arial" w:hAnsi="Arial" w:cs="Arial"/>
          <w:b/>
          <w:bCs/>
          <w:color w:val="2A7D6B"/>
          <w:sz w:val="32"/>
          <w:szCs w:val="32"/>
        </w:rPr>
        <w:t>Purchasing</w:t>
      </w:r>
    </w:p>
    <w:p w14:paraId="36EE8726" w14:textId="77777777" w:rsidR="00A60164" w:rsidRDefault="00414275">
      <w:pPr>
        <w:spacing w:after="160" w:line="276" w:lineRule="auto"/>
      </w:pPr>
      <w:r>
        <w:rPr>
          <w:rFonts w:ascii="Arial" w:eastAsia="Arial" w:hAnsi="Arial" w:cs="Arial"/>
          <w:color w:val="111111"/>
          <w:sz w:val="22"/>
          <w:szCs w:val="22"/>
        </w:rPr>
        <w:lastRenderedPageBreak/>
        <w:t>Purchase a Professional licence at ridgelinecyber.com. After payment, you receive a licence key by email. The key is a base64-encoded Ed25519 signed string. Paste it into Settings → Licence → Licence Key and click Activate Licence. Validation is</w:t>
      </w:r>
      <w:r>
        <w:rPr>
          <w:rFonts w:ascii="Arial" w:eastAsia="Arial" w:hAnsi="Arial" w:cs="Arial"/>
          <w:color w:val="111111"/>
          <w:sz w:val="22"/>
          <w:szCs w:val="22"/>
        </w:rPr>
        <w:t xml:space="preserve"> instant and offline.</w:t>
      </w:r>
    </w:p>
    <w:p w14:paraId="77C39A89" w14:textId="77777777" w:rsidR="00A60164" w:rsidRDefault="00414275">
      <w:pPr>
        <w:pStyle w:val="Heading2"/>
        <w:spacing w:before="300" w:after="160"/>
      </w:pPr>
      <w:r>
        <w:rPr>
          <w:rFonts w:ascii="Arial" w:eastAsia="Arial" w:hAnsi="Arial" w:cs="Arial"/>
          <w:b/>
          <w:bCs/>
          <w:color w:val="2A7D6B"/>
          <w:sz w:val="32"/>
          <w:szCs w:val="32"/>
        </w:rPr>
        <w:t>Expiry and Renewal</w:t>
      </w:r>
    </w:p>
    <w:p w14:paraId="260C82E4" w14:textId="77777777" w:rsidR="00A60164" w:rsidRDefault="00414275">
      <w:pPr>
        <w:spacing w:after="160" w:line="276" w:lineRule="auto"/>
      </w:pPr>
      <w:r>
        <w:rPr>
          <w:rFonts w:ascii="Arial" w:eastAsia="Arial" w:hAnsi="Arial" w:cs="Arial"/>
          <w:color w:val="111111"/>
          <w:sz w:val="22"/>
          <w:szCs w:val="22"/>
        </w:rPr>
        <w:t xml:space="preserve">Licences are valid for the duration specified in the key (typically 365 days). As the expiry date approaches, an amber banner appears at the top of the application. After expiry, Ridgeguard reverts to the Community </w:t>
      </w:r>
      <w:r>
        <w:rPr>
          <w:rFonts w:ascii="Arial" w:eastAsia="Arial" w:hAnsi="Arial" w:cs="Arial"/>
          <w:color w:val="111111"/>
          <w:sz w:val="22"/>
          <w:szCs w:val="22"/>
        </w:rPr>
        <w:t>tier — your data is never deleted. Purchase a renewal key and activate it in Settings → Licence to restore Professional access.</w:t>
      </w:r>
    </w:p>
    <w:p w14:paraId="490627E4" w14:textId="77777777" w:rsidR="00A60164" w:rsidRDefault="00414275">
      <w:pPr>
        <w:pStyle w:val="Heading2"/>
        <w:spacing w:before="300" w:after="160"/>
      </w:pPr>
      <w:r>
        <w:rPr>
          <w:rFonts w:ascii="Arial" w:eastAsia="Arial" w:hAnsi="Arial" w:cs="Arial"/>
          <w:b/>
          <w:bCs/>
          <w:color w:val="2A7D6B"/>
          <w:sz w:val="32"/>
          <w:szCs w:val="32"/>
        </w:rPr>
        <w:t>Moving to a New Machine</w:t>
      </w:r>
    </w:p>
    <w:p w14:paraId="6CF7415F" w14:textId="450D8B22" w:rsidR="00A60164" w:rsidRDefault="00414275" w:rsidP="001B2934">
      <w:pPr>
        <w:spacing w:after="160" w:line="276" w:lineRule="auto"/>
      </w:pPr>
      <w:r>
        <w:rPr>
          <w:rFonts w:ascii="Arial" w:eastAsia="Arial" w:hAnsi="Arial" w:cs="Arial"/>
          <w:color w:val="111111"/>
          <w:sz w:val="22"/>
          <w:szCs w:val="22"/>
        </w:rPr>
        <w:t>Your licence key is not machine-locked. You can activate the same key on a new machine. To preserve your</w:t>
      </w:r>
      <w:r>
        <w:rPr>
          <w:rFonts w:ascii="Arial" w:eastAsia="Arial" w:hAnsi="Arial" w:cs="Arial"/>
          <w:color w:val="111111"/>
          <w:sz w:val="22"/>
          <w:szCs w:val="22"/>
        </w:rPr>
        <w:t xml:space="preserve"> data, export a backup from Settings → Data Management → Export Backup on the old machine, install Ridgeguard on the new machine, activate your licence key, and import the backup.</w:t>
      </w:r>
    </w:p>
    <w:p w14:paraId="6493CF4C" w14:textId="77777777" w:rsidR="00A60164" w:rsidRDefault="00414275">
      <w:pPr>
        <w:pStyle w:val="Heading1"/>
        <w:spacing w:before="400" w:after="200"/>
      </w:pPr>
      <w:r>
        <w:rPr>
          <w:rFonts w:ascii="Arial" w:eastAsia="Arial" w:hAnsi="Arial" w:cs="Arial"/>
          <w:b/>
          <w:bCs/>
          <w:color w:val="0F2B3D"/>
          <w:sz w:val="48"/>
          <w:szCs w:val="48"/>
        </w:rPr>
        <w:t>Appendix A: Keyboard Shortcuts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515"/>
        <w:gridCol w:w="4501"/>
      </w:tblGrid>
      <w:tr w:rsidR="00A60164" w14:paraId="0A8CE7FE" w14:textId="77777777">
        <w:tblPrEx>
          <w:tblCellMar>
            <w:top w:w="0" w:type="dxa"/>
            <w:bottom w:w="0" w:type="dxa"/>
          </w:tblCellMar>
        </w:tblPrEx>
        <w:trPr>
          <w:tblHeader/>
        </w:trPr>
        <w:tc>
          <w:tcPr>
            <w:tcW w:w="0" w:type="auto"/>
            <w:shd w:val="clear" w:color="auto" w:fill="2A7D6B"/>
          </w:tcPr>
          <w:p w14:paraId="15848522" w14:textId="77777777" w:rsidR="00A60164" w:rsidRDefault="00414275">
            <w:r>
              <w:rPr>
                <w:rFonts w:ascii="Arial" w:eastAsia="Arial" w:hAnsi="Arial" w:cs="Arial"/>
                <w:b/>
                <w:bCs/>
                <w:color w:val="FFFFFF"/>
              </w:rPr>
              <w:t>Action</w:t>
            </w:r>
          </w:p>
        </w:tc>
        <w:tc>
          <w:tcPr>
            <w:tcW w:w="0" w:type="auto"/>
            <w:shd w:val="clear" w:color="auto" w:fill="2A7D6B"/>
          </w:tcPr>
          <w:p w14:paraId="17F419C2" w14:textId="77777777" w:rsidR="00A60164" w:rsidRDefault="00414275">
            <w:r>
              <w:rPr>
                <w:rFonts w:ascii="Arial" w:eastAsia="Arial" w:hAnsi="Arial" w:cs="Arial"/>
                <w:b/>
                <w:bCs/>
                <w:color w:val="FFFFFF"/>
              </w:rPr>
              <w:t>Shortcut</w:t>
            </w:r>
          </w:p>
        </w:tc>
      </w:tr>
      <w:tr w:rsidR="00A60164" w14:paraId="3AF6A5A6" w14:textId="77777777">
        <w:tblPrEx>
          <w:tblCellMar>
            <w:top w:w="0" w:type="dxa"/>
            <w:bottom w:w="0" w:type="dxa"/>
          </w:tblCellMar>
        </w:tblPrEx>
        <w:tc>
          <w:tcPr>
            <w:tcW w:w="0" w:type="auto"/>
          </w:tcPr>
          <w:p w14:paraId="5AACBDCF" w14:textId="77777777" w:rsidR="00A60164" w:rsidRDefault="00414275">
            <w:r>
              <w:rPr>
                <w:rFonts w:ascii="Arial" w:eastAsia="Arial" w:hAnsi="Arial" w:cs="Arial"/>
                <w:color w:val="111111"/>
              </w:rPr>
              <w:t>Navigate back</w:t>
            </w:r>
          </w:p>
        </w:tc>
        <w:tc>
          <w:tcPr>
            <w:tcW w:w="0" w:type="auto"/>
          </w:tcPr>
          <w:p w14:paraId="2FFA936E" w14:textId="77777777" w:rsidR="00A60164" w:rsidRDefault="00414275">
            <w:r>
              <w:rPr>
                <w:rFonts w:ascii="Arial" w:eastAsia="Arial" w:hAnsi="Arial" w:cs="Arial"/>
                <w:color w:val="111111"/>
              </w:rPr>
              <w:t>Alt + Left Arrow</w:t>
            </w:r>
          </w:p>
        </w:tc>
      </w:tr>
      <w:tr w:rsidR="00A60164" w14:paraId="7E5944F2" w14:textId="77777777">
        <w:tblPrEx>
          <w:tblCellMar>
            <w:top w:w="0" w:type="dxa"/>
            <w:bottom w:w="0" w:type="dxa"/>
          </w:tblCellMar>
        </w:tblPrEx>
        <w:tc>
          <w:tcPr>
            <w:tcW w:w="0" w:type="auto"/>
            <w:shd w:val="clear" w:color="auto" w:fill="F9FAFB"/>
          </w:tcPr>
          <w:p w14:paraId="233D9E1C" w14:textId="77777777" w:rsidR="00A60164" w:rsidRDefault="00414275">
            <w:r>
              <w:rPr>
                <w:rFonts w:ascii="Arial" w:eastAsia="Arial" w:hAnsi="Arial" w:cs="Arial"/>
                <w:color w:val="111111"/>
              </w:rPr>
              <w:t>Navigate forward</w:t>
            </w:r>
          </w:p>
        </w:tc>
        <w:tc>
          <w:tcPr>
            <w:tcW w:w="0" w:type="auto"/>
            <w:shd w:val="clear" w:color="auto" w:fill="F9FAFB"/>
          </w:tcPr>
          <w:p w14:paraId="0DE7529F" w14:textId="77777777" w:rsidR="00A60164" w:rsidRDefault="00414275">
            <w:r>
              <w:rPr>
                <w:rFonts w:ascii="Arial" w:eastAsia="Arial" w:hAnsi="Arial" w:cs="Arial"/>
                <w:color w:val="111111"/>
              </w:rPr>
              <w:t>Alt + Right Arrow</w:t>
            </w:r>
          </w:p>
        </w:tc>
      </w:tr>
    </w:tbl>
    <w:p w14:paraId="41B6F80B" w14:textId="339F67FA" w:rsidR="00A60164" w:rsidRDefault="00A60164"/>
    <w:p w14:paraId="235688DA" w14:textId="77777777" w:rsidR="00A60164" w:rsidRDefault="00414275">
      <w:pPr>
        <w:pStyle w:val="Heading1"/>
        <w:spacing w:before="400" w:after="200"/>
      </w:pPr>
      <w:r>
        <w:rPr>
          <w:rFonts w:ascii="Arial" w:eastAsia="Arial" w:hAnsi="Arial" w:cs="Arial"/>
          <w:b/>
          <w:bCs/>
          <w:color w:val="0F2B3D"/>
          <w:sz w:val="48"/>
          <w:szCs w:val="48"/>
        </w:rPr>
        <w:t>Appendix B: Supported Frameworks</w:t>
      </w:r>
    </w:p>
    <w:p w14:paraId="49CCD847" w14:textId="77777777" w:rsidR="00A60164" w:rsidRDefault="00414275">
      <w:pPr>
        <w:spacing w:after="160" w:line="276" w:lineRule="auto"/>
      </w:pPr>
      <w:r>
        <w:rPr>
          <w:rFonts w:ascii="Arial" w:eastAsia="Arial" w:hAnsi="Arial" w:cs="Arial"/>
          <w:color w:val="111111"/>
          <w:sz w:val="22"/>
          <w:szCs w:val="22"/>
        </w:rPr>
        <w:t>The following frameworks are mapped in the Compliance Profiles feature, referenced in Answer Library tags, and available for selection in the Company Profile and Policy Register: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085"/>
        <w:gridCol w:w="919"/>
        <w:gridCol w:w="6012"/>
      </w:tblGrid>
      <w:tr w:rsidR="00A60164" w14:paraId="259768D6" w14:textId="77777777">
        <w:tblPrEx>
          <w:tblCellMar>
            <w:top w:w="0" w:type="dxa"/>
            <w:bottom w:w="0" w:type="dxa"/>
          </w:tblCellMar>
        </w:tblPrEx>
        <w:trPr>
          <w:tblHeader/>
        </w:trPr>
        <w:tc>
          <w:tcPr>
            <w:tcW w:w="0" w:type="auto"/>
            <w:shd w:val="clear" w:color="auto" w:fill="2A7D6B"/>
          </w:tcPr>
          <w:p w14:paraId="529207C4" w14:textId="77777777" w:rsidR="00A60164" w:rsidRDefault="00414275">
            <w:r>
              <w:rPr>
                <w:rFonts w:ascii="Arial" w:eastAsia="Arial" w:hAnsi="Arial" w:cs="Arial"/>
                <w:b/>
                <w:bCs/>
                <w:color w:val="FFFFFF"/>
              </w:rPr>
              <w:t>Framework</w:t>
            </w:r>
          </w:p>
        </w:tc>
        <w:tc>
          <w:tcPr>
            <w:tcW w:w="0" w:type="auto"/>
            <w:shd w:val="clear" w:color="auto" w:fill="2A7D6B"/>
          </w:tcPr>
          <w:p w14:paraId="4740BA3A" w14:textId="77777777" w:rsidR="00A60164" w:rsidRDefault="00414275">
            <w:r>
              <w:rPr>
                <w:rFonts w:ascii="Arial" w:eastAsia="Arial" w:hAnsi="Arial" w:cs="Arial"/>
                <w:b/>
                <w:bCs/>
                <w:color w:val="FFFFFF"/>
              </w:rPr>
              <w:t>Short Name</w:t>
            </w:r>
          </w:p>
        </w:tc>
        <w:tc>
          <w:tcPr>
            <w:tcW w:w="0" w:type="auto"/>
            <w:shd w:val="clear" w:color="auto" w:fill="2A7D6B"/>
          </w:tcPr>
          <w:p w14:paraId="19351C9D" w14:textId="77777777" w:rsidR="00A60164" w:rsidRDefault="00414275">
            <w:r>
              <w:rPr>
                <w:rFonts w:ascii="Arial" w:eastAsia="Arial" w:hAnsi="Arial" w:cs="Arial"/>
                <w:b/>
                <w:bCs/>
                <w:color w:val="FFFFFF"/>
              </w:rPr>
              <w:t>Description</w:t>
            </w:r>
          </w:p>
        </w:tc>
      </w:tr>
      <w:tr w:rsidR="00A60164" w14:paraId="6287C916" w14:textId="77777777">
        <w:tblPrEx>
          <w:tblCellMar>
            <w:top w:w="0" w:type="dxa"/>
            <w:bottom w:w="0" w:type="dxa"/>
          </w:tblCellMar>
        </w:tblPrEx>
        <w:tc>
          <w:tcPr>
            <w:tcW w:w="0" w:type="auto"/>
          </w:tcPr>
          <w:p w14:paraId="3C9D9D41" w14:textId="77777777" w:rsidR="00A60164" w:rsidRDefault="00414275">
            <w:r>
              <w:rPr>
                <w:rFonts w:ascii="Arial" w:eastAsia="Arial" w:hAnsi="Arial" w:cs="Arial"/>
                <w:color w:val="111111"/>
              </w:rPr>
              <w:t>NIST Cybersecurity Framework 2.0</w:t>
            </w:r>
          </w:p>
        </w:tc>
        <w:tc>
          <w:tcPr>
            <w:tcW w:w="0" w:type="auto"/>
          </w:tcPr>
          <w:p w14:paraId="05A69358" w14:textId="77777777" w:rsidR="00A60164" w:rsidRDefault="00414275">
            <w:r>
              <w:rPr>
                <w:rFonts w:ascii="Arial" w:eastAsia="Arial" w:hAnsi="Arial" w:cs="Arial"/>
                <w:color w:val="111111"/>
              </w:rPr>
              <w:t>NIST CSF 2.0</w:t>
            </w:r>
          </w:p>
        </w:tc>
        <w:tc>
          <w:tcPr>
            <w:tcW w:w="0" w:type="auto"/>
          </w:tcPr>
          <w:p w14:paraId="626F4A71" w14:textId="77777777" w:rsidR="00A60164" w:rsidRDefault="00414275">
            <w:r>
              <w:rPr>
                <w:rFonts w:ascii="Arial" w:eastAsia="Arial" w:hAnsi="Arial" w:cs="Arial"/>
                <w:color w:val="111111"/>
              </w:rPr>
              <w:t>US federal cybersecurity risk management framework with six functions: Govern, Identify, Protect, Detect, Respond, Recover</w:t>
            </w:r>
          </w:p>
        </w:tc>
      </w:tr>
      <w:tr w:rsidR="00A60164" w14:paraId="448B988B" w14:textId="77777777">
        <w:tblPrEx>
          <w:tblCellMar>
            <w:top w:w="0" w:type="dxa"/>
            <w:bottom w:w="0" w:type="dxa"/>
          </w:tblCellMar>
        </w:tblPrEx>
        <w:tc>
          <w:tcPr>
            <w:tcW w:w="0" w:type="auto"/>
            <w:shd w:val="clear" w:color="auto" w:fill="F9FAFB"/>
          </w:tcPr>
          <w:p w14:paraId="0E3A2A63" w14:textId="77777777" w:rsidR="00A60164" w:rsidRDefault="00414275">
            <w:r>
              <w:rPr>
                <w:rFonts w:ascii="Arial" w:eastAsia="Arial" w:hAnsi="Arial" w:cs="Arial"/>
                <w:color w:val="111111"/>
              </w:rPr>
              <w:t>ISO/IEC 27001:2022</w:t>
            </w:r>
          </w:p>
        </w:tc>
        <w:tc>
          <w:tcPr>
            <w:tcW w:w="0" w:type="auto"/>
            <w:shd w:val="clear" w:color="auto" w:fill="F9FAFB"/>
          </w:tcPr>
          <w:p w14:paraId="6878BFD3" w14:textId="77777777" w:rsidR="00A60164" w:rsidRDefault="00414275">
            <w:r>
              <w:rPr>
                <w:rFonts w:ascii="Arial" w:eastAsia="Arial" w:hAnsi="Arial" w:cs="Arial"/>
                <w:color w:val="111111"/>
              </w:rPr>
              <w:t>ISO 27001</w:t>
            </w:r>
          </w:p>
        </w:tc>
        <w:tc>
          <w:tcPr>
            <w:tcW w:w="0" w:type="auto"/>
            <w:shd w:val="clear" w:color="auto" w:fill="F9FAFB"/>
          </w:tcPr>
          <w:p w14:paraId="7B63F3C4" w14:textId="77777777" w:rsidR="00A60164" w:rsidRDefault="00414275">
            <w:r>
              <w:rPr>
                <w:rFonts w:ascii="Arial" w:eastAsia="Arial" w:hAnsi="Arial" w:cs="Arial"/>
                <w:color w:val="111111"/>
              </w:rPr>
              <w:t>International information security management system (ISM</w:t>
            </w:r>
            <w:r>
              <w:rPr>
                <w:rFonts w:ascii="Arial" w:eastAsia="Arial" w:hAnsi="Arial" w:cs="Arial"/>
                <w:color w:val="111111"/>
              </w:rPr>
              <w:t>S) standard; 2022 edition has 93 Annex A controls in 4 themes</w:t>
            </w:r>
          </w:p>
        </w:tc>
      </w:tr>
      <w:tr w:rsidR="00A60164" w14:paraId="43A7FEBF" w14:textId="77777777">
        <w:tblPrEx>
          <w:tblCellMar>
            <w:top w:w="0" w:type="dxa"/>
            <w:bottom w:w="0" w:type="dxa"/>
          </w:tblCellMar>
        </w:tblPrEx>
        <w:tc>
          <w:tcPr>
            <w:tcW w:w="0" w:type="auto"/>
          </w:tcPr>
          <w:p w14:paraId="3A67ED87" w14:textId="77777777" w:rsidR="00A60164" w:rsidRDefault="00414275">
            <w:r>
              <w:rPr>
                <w:rFonts w:ascii="Arial" w:eastAsia="Arial" w:hAnsi="Arial" w:cs="Arial"/>
                <w:color w:val="111111"/>
              </w:rPr>
              <w:t>SOC 2</w:t>
            </w:r>
          </w:p>
        </w:tc>
        <w:tc>
          <w:tcPr>
            <w:tcW w:w="0" w:type="auto"/>
          </w:tcPr>
          <w:p w14:paraId="40103680" w14:textId="77777777" w:rsidR="00A60164" w:rsidRDefault="00414275">
            <w:r>
              <w:rPr>
                <w:rFonts w:ascii="Arial" w:eastAsia="Arial" w:hAnsi="Arial" w:cs="Arial"/>
                <w:color w:val="111111"/>
              </w:rPr>
              <w:t>SOC 2</w:t>
            </w:r>
          </w:p>
        </w:tc>
        <w:tc>
          <w:tcPr>
            <w:tcW w:w="0" w:type="auto"/>
          </w:tcPr>
          <w:p w14:paraId="490799E7" w14:textId="77777777" w:rsidR="00A60164" w:rsidRDefault="00414275">
            <w:r>
              <w:rPr>
                <w:rFonts w:ascii="Arial" w:eastAsia="Arial" w:hAnsi="Arial" w:cs="Arial"/>
                <w:color w:val="111111"/>
              </w:rPr>
              <w:t>AICPA service organisation controls report covering the five trust service criteria; Types I and II are the most common</w:t>
            </w:r>
          </w:p>
        </w:tc>
      </w:tr>
      <w:tr w:rsidR="00A60164" w14:paraId="4B6B7514" w14:textId="77777777">
        <w:tblPrEx>
          <w:tblCellMar>
            <w:top w:w="0" w:type="dxa"/>
            <w:bottom w:w="0" w:type="dxa"/>
          </w:tblCellMar>
        </w:tblPrEx>
        <w:tc>
          <w:tcPr>
            <w:tcW w:w="0" w:type="auto"/>
            <w:shd w:val="clear" w:color="auto" w:fill="F9FAFB"/>
          </w:tcPr>
          <w:p w14:paraId="1EE4B856" w14:textId="77777777" w:rsidR="00A60164" w:rsidRDefault="00414275">
            <w:r>
              <w:rPr>
                <w:rFonts w:ascii="Arial" w:eastAsia="Arial" w:hAnsi="Arial" w:cs="Arial"/>
                <w:color w:val="111111"/>
              </w:rPr>
              <w:t>CIS Controls v8</w:t>
            </w:r>
          </w:p>
        </w:tc>
        <w:tc>
          <w:tcPr>
            <w:tcW w:w="0" w:type="auto"/>
            <w:shd w:val="clear" w:color="auto" w:fill="F9FAFB"/>
          </w:tcPr>
          <w:p w14:paraId="478071A4" w14:textId="77777777" w:rsidR="00A60164" w:rsidRDefault="00414275">
            <w:r>
              <w:rPr>
                <w:rFonts w:ascii="Arial" w:eastAsia="Arial" w:hAnsi="Arial" w:cs="Arial"/>
                <w:color w:val="111111"/>
              </w:rPr>
              <w:t>CIS v8</w:t>
            </w:r>
          </w:p>
        </w:tc>
        <w:tc>
          <w:tcPr>
            <w:tcW w:w="0" w:type="auto"/>
            <w:shd w:val="clear" w:color="auto" w:fill="F9FAFB"/>
          </w:tcPr>
          <w:p w14:paraId="25947579" w14:textId="77777777" w:rsidR="00A60164" w:rsidRDefault="00414275">
            <w:r>
              <w:rPr>
                <w:rFonts w:ascii="Arial" w:eastAsia="Arial" w:hAnsi="Arial" w:cs="Arial"/>
                <w:color w:val="111111"/>
              </w:rPr>
              <w:t>18 safeguard groups prioritised by implementation group (IG1 basic, IG2 intermediate, IG3 advanced)</w:t>
            </w:r>
          </w:p>
        </w:tc>
      </w:tr>
      <w:tr w:rsidR="00A60164" w14:paraId="671A5DFA" w14:textId="77777777">
        <w:tblPrEx>
          <w:tblCellMar>
            <w:top w:w="0" w:type="dxa"/>
            <w:bottom w:w="0" w:type="dxa"/>
          </w:tblCellMar>
        </w:tblPrEx>
        <w:tc>
          <w:tcPr>
            <w:tcW w:w="0" w:type="auto"/>
          </w:tcPr>
          <w:p w14:paraId="74775D19" w14:textId="77777777" w:rsidR="00A60164" w:rsidRDefault="00414275">
            <w:r>
              <w:rPr>
                <w:rFonts w:ascii="Arial" w:eastAsia="Arial" w:hAnsi="Arial" w:cs="Arial"/>
                <w:color w:val="111111"/>
              </w:rPr>
              <w:t>CMMC 2.0</w:t>
            </w:r>
          </w:p>
        </w:tc>
        <w:tc>
          <w:tcPr>
            <w:tcW w:w="0" w:type="auto"/>
          </w:tcPr>
          <w:p w14:paraId="223B8A4F" w14:textId="77777777" w:rsidR="00A60164" w:rsidRDefault="00414275">
            <w:r>
              <w:rPr>
                <w:rFonts w:ascii="Arial" w:eastAsia="Arial" w:hAnsi="Arial" w:cs="Arial"/>
                <w:color w:val="111111"/>
              </w:rPr>
              <w:t>CMMC 2.0</w:t>
            </w:r>
          </w:p>
        </w:tc>
        <w:tc>
          <w:tcPr>
            <w:tcW w:w="0" w:type="auto"/>
          </w:tcPr>
          <w:p w14:paraId="6135C6D9" w14:textId="77777777" w:rsidR="00A60164" w:rsidRDefault="00414275">
            <w:r>
              <w:rPr>
                <w:rFonts w:ascii="Arial" w:eastAsia="Arial" w:hAnsi="Arial" w:cs="Arial"/>
                <w:color w:val="111111"/>
              </w:rPr>
              <w:t>US DoD Cybersecurity Maturity Model Certification; Level 1 (17 practices), Level 2 (110 NIST 800-171 practices), Level 3 (advanced)</w:t>
            </w:r>
          </w:p>
        </w:tc>
      </w:tr>
      <w:tr w:rsidR="00A60164" w14:paraId="6848715B" w14:textId="77777777">
        <w:tblPrEx>
          <w:tblCellMar>
            <w:top w:w="0" w:type="dxa"/>
            <w:bottom w:w="0" w:type="dxa"/>
          </w:tblCellMar>
        </w:tblPrEx>
        <w:tc>
          <w:tcPr>
            <w:tcW w:w="0" w:type="auto"/>
            <w:shd w:val="clear" w:color="auto" w:fill="F9FAFB"/>
          </w:tcPr>
          <w:p w14:paraId="79943647" w14:textId="77777777" w:rsidR="00A60164" w:rsidRDefault="00414275">
            <w:r>
              <w:rPr>
                <w:rFonts w:ascii="Arial" w:eastAsia="Arial" w:hAnsi="Arial" w:cs="Arial"/>
                <w:color w:val="111111"/>
              </w:rPr>
              <w:t>PCI DSS v4.0</w:t>
            </w:r>
          </w:p>
        </w:tc>
        <w:tc>
          <w:tcPr>
            <w:tcW w:w="0" w:type="auto"/>
            <w:shd w:val="clear" w:color="auto" w:fill="F9FAFB"/>
          </w:tcPr>
          <w:p w14:paraId="45F348AA" w14:textId="77777777" w:rsidR="00A60164" w:rsidRDefault="00414275">
            <w:r>
              <w:rPr>
                <w:rFonts w:ascii="Arial" w:eastAsia="Arial" w:hAnsi="Arial" w:cs="Arial"/>
                <w:color w:val="111111"/>
              </w:rPr>
              <w:t>PCI DSS</w:t>
            </w:r>
          </w:p>
        </w:tc>
        <w:tc>
          <w:tcPr>
            <w:tcW w:w="0" w:type="auto"/>
            <w:shd w:val="clear" w:color="auto" w:fill="F9FAFB"/>
          </w:tcPr>
          <w:p w14:paraId="213779CD" w14:textId="77777777" w:rsidR="00A60164" w:rsidRDefault="00414275">
            <w:r>
              <w:rPr>
                <w:rFonts w:ascii="Arial" w:eastAsia="Arial" w:hAnsi="Arial" w:cs="Arial"/>
                <w:color w:val="111111"/>
              </w:rPr>
              <w:t>Payment Card Industry Data Security Standard; 12 requirements covering cardholder data enviro</w:t>
            </w:r>
            <w:r>
              <w:rPr>
                <w:rFonts w:ascii="Arial" w:eastAsia="Arial" w:hAnsi="Arial" w:cs="Arial"/>
                <w:color w:val="111111"/>
              </w:rPr>
              <w:t>nment protection</w:t>
            </w:r>
          </w:p>
        </w:tc>
      </w:tr>
      <w:tr w:rsidR="00A60164" w14:paraId="6DE577E4" w14:textId="77777777">
        <w:tblPrEx>
          <w:tblCellMar>
            <w:top w:w="0" w:type="dxa"/>
            <w:bottom w:w="0" w:type="dxa"/>
          </w:tblCellMar>
        </w:tblPrEx>
        <w:tc>
          <w:tcPr>
            <w:tcW w:w="0" w:type="auto"/>
          </w:tcPr>
          <w:p w14:paraId="3E319FA1" w14:textId="77777777" w:rsidR="00A60164" w:rsidRDefault="00414275">
            <w:r>
              <w:rPr>
                <w:rFonts w:ascii="Arial" w:eastAsia="Arial" w:hAnsi="Arial" w:cs="Arial"/>
                <w:color w:val="111111"/>
              </w:rPr>
              <w:t>HIPAA Security Rule</w:t>
            </w:r>
          </w:p>
        </w:tc>
        <w:tc>
          <w:tcPr>
            <w:tcW w:w="0" w:type="auto"/>
          </w:tcPr>
          <w:p w14:paraId="10C5A8BA" w14:textId="77777777" w:rsidR="00A60164" w:rsidRDefault="00414275">
            <w:r>
              <w:rPr>
                <w:rFonts w:ascii="Arial" w:eastAsia="Arial" w:hAnsi="Arial" w:cs="Arial"/>
                <w:color w:val="111111"/>
              </w:rPr>
              <w:t>HIPAA</w:t>
            </w:r>
          </w:p>
        </w:tc>
        <w:tc>
          <w:tcPr>
            <w:tcW w:w="0" w:type="auto"/>
          </w:tcPr>
          <w:p w14:paraId="09E694C1" w14:textId="77777777" w:rsidR="00A60164" w:rsidRDefault="00414275">
            <w:r>
              <w:rPr>
                <w:rFonts w:ascii="Arial" w:eastAsia="Arial" w:hAnsi="Arial" w:cs="Arial"/>
                <w:color w:val="111111"/>
              </w:rPr>
              <w:t>US Health Insurance Portability and Accountability Act; administrative, physical, and technical safeguards for ePHI</w:t>
            </w:r>
          </w:p>
        </w:tc>
      </w:tr>
      <w:tr w:rsidR="00A60164" w14:paraId="7C96C4DC" w14:textId="77777777">
        <w:tblPrEx>
          <w:tblCellMar>
            <w:top w:w="0" w:type="dxa"/>
            <w:bottom w:w="0" w:type="dxa"/>
          </w:tblCellMar>
        </w:tblPrEx>
        <w:tc>
          <w:tcPr>
            <w:tcW w:w="0" w:type="auto"/>
            <w:shd w:val="clear" w:color="auto" w:fill="F9FAFB"/>
          </w:tcPr>
          <w:p w14:paraId="1735667C" w14:textId="77777777" w:rsidR="00A60164" w:rsidRDefault="00414275">
            <w:r>
              <w:rPr>
                <w:rFonts w:ascii="Arial" w:eastAsia="Arial" w:hAnsi="Arial" w:cs="Arial"/>
                <w:color w:val="111111"/>
              </w:rPr>
              <w:t>GDPR</w:t>
            </w:r>
          </w:p>
        </w:tc>
        <w:tc>
          <w:tcPr>
            <w:tcW w:w="0" w:type="auto"/>
            <w:shd w:val="clear" w:color="auto" w:fill="F9FAFB"/>
          </w:tcPr>
          <w:p w14:paraId="76A951E0" w14:textId="77777777" w:rsidR="00A60164" w:rsidRDefault="00414275">
            <w:r>
              <w:rPr>
                <w:rFonts w:ascii="Arial" w:eastAsia="Arial" w:hAnsi="Arial" w:cs="Arial"/>
                <w:color w:val="111111"/>
              </w:rPr>
              <w:t>GDPR</w:t>
            </w:r>
          </w:p>
        </w:tc>
        <w:tc>
          <w:tcPr>
            <w:tcW w:w="0" w:type="auto"/>
            <w:shd w:val="clear" w:color="auto" w:fill="F9FAFB"/>
          </w:tcPr>
          <w:p w14:paraId="58B6EC5E" w14:textId="77777777" w:rsidR="00A60164" w:rsidRDefault="00414275">
            <w:r>
              <w:rPr>
                <w:rFonts w:ascii="Arial" w:eastAsia="Arial" w:hAnsi="Arial" w:cs="Arial"/>
                <w:color w:val="111111"/>
              </w:rPr>
              <w:t>EU General Data Protection Regulation; data minimisation, lawful basis, data subject rights, 72-hour breach notification</w:t>
            </w:r>
          </w:p>
        </w:tc>
      </w:tr>
      <w:tr w:rsidR="00A60164" w14:paraId="21CDA58A" w14:textId="77777777">
        <w:tblPrEx>
          <w:tblCellMar>
            <w:top w:w="0" w:type="dxa"/>
            <w:bottom w:w="0" w:type="dxa"/>
          </w:tblCellMar>
        </w:tblPrEx>
        <w:tc>
          <w:tcPr>
            <w:tcW w:w="0" w:type="auto"/>
          </w:tcPr>
          <w:p w14:paraId="3F0B2FA5" w14:textId="77777777" w:rsidR="00A60164" w:rsidRDefault="00414275">
            <w:r>
              <w:rPr>
                <w:rFonts w:ascii="Arial" w:eastAsia="Arial" w:hAnsi="Arial" w:cs="Arial"/>
                <w:color w:val="111111"/>
              </w:rPr>
              <w:lastRenderedPageBreak/>
              <w:t>NIST SP 800-53</w:t>
            </w:r>
          </w:p>
        </w:tc>
        <w:tc>
          <w:tcPr>
            <w:tcW w:w="0" w:type="auto"/>
          </w:tcPr>
          <w:p w14:paraId="2B2FB35F" w14:textId="77777777" w:rsidR="00A60164" w:rsidRDefault="00414275">
            <w:r>
              <w:rPr>
                <w:rFonts w:ascii="Arial" w:eastAsia="Arial" w:hAnsi="Arial" w:cs="Arial"/>
                <w:color w:val="111111"/>
              </w:rPr>
              <w:t>NIST 800-53</w:t>
            </w:r>
          </w:p>
        </w:tc>
        <w:tc>
          <w:tcPr>
            <w:tcW w:w="0" w:type="auto"/>
          </w:tcPr>
          <w:p w14:paraId="6001029A" w14:textId="77777777" w:rsidR="00A60164" w:rsidRDefault="00414275">
            <w:r>
              <w:rPr>
                <w:rFonts w:ascii="Arial" w:eastAsia="Arial" w:hAnsi="Arial" w:cs="Arial"/>
                <w:color w:val="111111"/>
              </w:rPr>
              <w:t>Comprehensive US federal security and privacy control catalogue; Rev 5 has 20 control families</w:t>
            </w:r>
          </w:p>
        </w:tc>
      </w:tr>
      <w:tr w:rsidR="00A60164" w14:paraId="6682EBB9" w14:textId="77777777">
        <w:tblPrEx>
          <w:tblCellMar>
            <w:top w:w="0" w:type="dxa"/>
            <w:bottom w:w="0" w:type="dxa"/>
          </w:tblCellMar>
        </w:tblPrEx>
        <w:tc>
          <w:tcPr>
            <w:tcW w:w="0" w:type="auto"/>
            <w:shd w:val="clear" w:color="auto" w:fill="F9FAFB"/>
          </w:tcPr>
          <w:p w14:paraId="69545F92" w14:textId="77777777" w:rsidR="00A60164" w:rsidRDefault="00414275">
            <w:r>
              <w:rPr>
                <w:rFonts w:ascii="Arial" w:eastAsia="Arial" w:hAnsi="Arial" w:cs="Arial"/>
                <w:color w:val="111111"/>
              </w:rPr>
              <w:t>NIST SP 800</w:t>
            </w:r>
            <w:r>
              <w:rPr>
                <w:rFonts w:ascii="Arial" w:eastAsia="Arial" w:hAnsi="Arial" w:cs="Arial"/>
                <w:color w:val="111111"/>
              </w:rPr>
              <w:t>-171</w:t>
            </w:r>
          </w:p>
        </w:tc>
        <w:tc>
          <w:tcPr>
            <w:tcW w:w="0" w:type="auto"/>
            <w:shd w:val="clear" w:color="auto" w:fill="F9FAFB"/>
          </w:tcPr>
          <w:p w14:paraId="64E345F8" w14:textId="77777777" w:rsidR="00A60164" w:rsidRDefault="00414275">
            <w:r>
              <w:rPr>
                <w:rFonts w:ascii="Arial" w:eastAsia="Arial" w:hAnsi="Arial" w:cs="Arial"/>
                <w:color w:val="111111"/>
              </w:rPr>
              <w:t>NIST 800-171</w:t>
            </w:r>
          </w:p>
        </w:tc>
        <w:tc>
          <w:tcPr>
            <w:tcW w:w="0" w:type="auto"/>
            <w:shd w:val="clear" w:color="auto" w:fill="F9FAFB"/>
          </w:tcPr>
          <w:p w14:paraId="7E002471" w14:textId="77777777" w:rsidR="00A60164" w:rsidRDefault="00414275">
            <w:r>
              <w:rPr>
                <w:rFonts w:ascii="Arial" w:eastAsia="Arial" w:hAnsi="Arial" w:cs="Arial"/>
                <w:color w:val="111111"/>
              </w:rPr>
              <w:t>110 security requirements for protecting CUI in non-federal systems; required for US government contracts</w:t>
            </w:r>
          </w:p>
        </w:tc>
      </w:tr>
    </w:tbl>
    <w:p w14:paraId="479A0EF8" w14:textId="0564A662" w:rsidR="00A60164" w:rsidRDefault="00A60164"/>
    <w:p w14:paraId="7C3D161C" w14:textId="77777777" w:rsidR="00A60164" w:rsidRDefault="00414275">
      <w:pPr>
        <w:pStyle w:val="Heading1"/>
        <w:spacing w:before="400" w:after="200"/>
      </w:pPr>
      <w:r>
        <w:rPr>
          <w:rFonts w:ascii="Arial" w:eastAsia="Arial" w:hAnsi="Arial" w:cs="Arial"/>
          <w:b/>
          <w:bCs/>
          <w:color w:val="0F2B3D"/>
          <w:sz w:val="48"/>
          <w:szCs w:val="48"/>
        </w:rPr>
        <w:t>Appendix C: Troubleshooting</w:t>
      </w:r>
    </w:p>
    <w:p w14:paraId="4E861E17" w14:textId="77777777" w:rsidR="00A60164" w:rsidRDefault="00414275">
      <w:pPr>
        <w:pStyle w:val="Heading2"/>
        <w:spacing w:before="300" w:after="160"/>
      </w:pPr>
      <w:r>
        <w:rPr>
          <w:rFonts w:ascii="Arial" w:eastAsia="Arial" w:hAnsi="Arial" w:cs="Arial"/>
          <w:b/>
          <w:bCs/>
          <w:color w:val="2A7D6B"/>
          <w:sz w:val="32"/>
          <w:szCs w:val="32"/>
        </w:rPr>
        <w:t>Application Will Not Start</w:t>
      </w:r>
    </w:p>
    <w:p w14:paraId="0A3D442E" w14:textId="77777777" w:rsidR="00A60164" w:rsidRDefault="00414275">
      <w:pPr>
        <w:pStyle w:val="ListParagraph"/>
        <w:numPr>
          <w:ilvl w:val="0"/>
          <w:numId w:val="2"/>
        </w:numPr>
        <w:spacing w:after="80" w:line="276" w:lineRule="auto"/>
      </w:pPr>
      <w:r>
        <w:rPr>
          <w:rFonts w:ascii="Arial" w:eastAsia="Arial" w:hAnsi="Arial" w:cs="Arial"/>
          <w:color w:val="111111"/>
          <w:sz w:val="22"/>
          <w:szCs w:val="22"/>
        </w:rPr>
        <w:t>Confirm you are running Windows 10 or Windows 11 (64-bit).</w:t>
      </w:r>
    </w:p>
    <w:p w14:paraId="6B6D5ACC" w14:textId="77777777" w:rsidR="00A60164" w:rsidRDefault="00414275">
      <w:pPr>
        <w:pStyle w:val="ListParagraph"/>
        <w:numPr>
          <w:ilvl w:val="0"/>
          <w:numId w:val="2"/>
        </w:numPr>
        <w:spacing w:after="80" w:line="276" w:lineRule="auto"/>
      </w:pPr>
      <w:r>
        <w:rPr>
          <w:rFonts w:ascii="Arial" w:eastAsia="Arial" w:hAnsi="Arial" w:cs="Arial"/>
          <w:color w:val="111111"/>
          <w:sz w:val="22"/>
          <w:szCs w:val="22"/>
        </w:rPr>
        <w:t>Check that the Microsoft Visual C++ Redistributable is installed. Download it from Microsoft's website if needed.</w:t>
      </w:r>
    </w:p>
    <w:p w14:paraId="5D4125E4" w14:textId="77777777" w:rsidR="00A60164" w:rsidRDefault="00414275">
      <w:pPr>
        <w:pStyle w:val="ListParagraph"/>
        <w:numPr>
          <w:ilvl w:val="0"/>
          <w:numId w:val="2"/>
        </w:numPr>
        <w:spacing w:after="80" w:line="276" w:lineRule="auto"/>
      </w:pPr>
      <w:r>
        <w:rPr>
          <w:rFonts w:ascii="Arial" w:eastAsia="Arial" w:hAnsi="Arial" w:cs="Arial"/>
          <w:color w:val="111111"/>
          <w:sz w:val="22"/>
          <w:szCs w:val="22"/>
        </w:rPr>
        <w:t>Look for Ridgeguard in the system tray — the app may already be running minimised.</w:t>
      </w:r>
    </w:p>
    <w:p w14:paraId="27577751" w14:textId="77777777" w:rsidR="00A60164" w:rsidRDefault="00414275">
      <w:pPr>
        <w:pStyle w:val="ListParagraph"/>
        <w:numPr>
          <w:ilvl w:val="0"/>
          <w:numId w:val="2"/>
        </w:numPr>
        <w:spacing w:after="80" w:line="276" w:lineRule="auto"/>
      </w:pPr>
      <w:r>
        <w:rPr>
          <w:rFonts w:ascii="Arial" w:eastAsia="Arial" w:hAnsi="Arial" w:cs="Arial"/>
          <w:color w:val="111111"/>
          <w:sz w:val="22"/>
          <w:szCs w:val="22"/>
        </w:rPr>
        <w:t>Open the Windows Event Viewer (eventvwr.msc) and look under Windows Logs → Application for errors with source Ridgeguard.</w:t>
      </w:r>
    </w:p>
    <w:p w14:paraId="61892FF2" w14:textId="77777777" w:rsidR="00A60164" w:rsidRDefault="00414275">
      <w:pPr>
        <w:pStyle w:val="ListParagraph"/>
        <w:numPr>
          <w:ilvl w:val="0"/>
          <w:numId w:val="2"/>
        </w:numPr>
        <w:spacing w:after="80" w:line="276" w:lineRule="auto"/>
      </w:pPr>
      <w:r>
        <w:rPr>
          <w:rFonts w:ascii="Arial" w:eastAsia="Arial" w:hAnsi="Arial" w:cs="Arial"/>
          <w:color w:val="111111"/>
          <w:sz w:val="22"/>
          <w:szCs w:val="22"/>
        </w:rPr>
        <w:t xml:space="preserve">If the database is corrupted, move the </w:t>
      </w:r>
      <w:proofErr w:type="spellStart"/>
      <w:r>
        <w:rPr>
          <w:rFonts w:ascii="Arial" w:eastAsia="Arial" w:hAnsi="Arial" w:cs="Arial"/>
          <w:color w:val="111111"/>
          <w:sz w:val="22"/>
          <w:szCs w:val="22"/>
        </w:rPr>
        <w:t>ridgeguard.db</w:t>
      </w:r>
      <w:proofErr w:type="spellEnd"/>
      <w:r>
        <w:rPr>
          <w:rFonts w:ascii="Arial" w:eastAsia="Arial" w:hAnsi="Arial" w:cs="Arial"/>
          <w:color w:val="111111"/>
          <w:sz w:val="22"/>
          <w:szCs w:val="22"/>
        </w:rPr>
        <w:t xml:space="preserve"> file out of the </w:t>
      </w:r>
      <w:proofErr w:type="spellStart"/>
      <w:r>
        <w:rPr>
          <w:rFonts w:ascii="Arial" w:eastAsia="Arial" w:hAnsi="Arial" w:cs="Arial"/>
          <w:color w:val="111111"/>
          <w:sz w:val="22"/>
          <w:szCs w:val="22"/>
        </w:rPr>
        <w:t>AppData</w:t>
      </w:r>
      <w:proofErr w:type="spellEnd"/>
      <w:r>
        <w:rPr>
          <w:rFonts w:ascii="Arial" w:eastAsia="Arial" w:hAnsi="Arial" w:cs="Arial"/>
          <w:color w:val="111111"/>
          <w:sz w:val="22"/>
          <w:szCs w:val="22"/>
        </w:rPr>
        <w:t xml:space="preserve"> folder and restart. You will need to restore from a backu</w:t>
      </w:r>
      <w:r>
        <w:rPr>
          <w:rFonts w:ascii="Arial" w:eastAsia="Arial" w:hAnsi="Arial" w:cs="Arial"/>
          <w:color w:val="111111"/>
          <w:sz w:val="22"/>
          <w:szCs w:val="22"/>
        </w:rPr>
        <w:t>p.</w:t>
      </w:r>
    </w:p>
    <w:p w14:paraId="670148BA" w14:textId="77777777" w:rsidR="00A60164" w:rsidRDefault="00414275">
      <w:pPr>
        <w:pStyle w:val="Heading2"/>
        <w:spacing w:before="300" w:after="160"/>
      </w:pPr>
      <w:r>
        <w:rPr>
          <w:rFonts w:ascii="Arial" w:eastAsia="Arial" w:hAnsi="Arial" w:cs="Arial"/>
          <w:b/>
          <w:bCs/>
          <w:color w:val="2A7D6B"/>
          <w:sz w:val="32"/>
          <w:szCs w:val="32"/>
        </w:rPr>
        <w:t>Forgot Password</w:t>
      </w:r>
    </w:p>
    <w:p w14:paraId="37500467" w14:textId="77777777" w:rsidR="00A60164" w:rsidRDefault="00414275">
      <w:pPr>
        <w:pStyle w:val="ListParagraph"/>
        <w:numPr>
          <w:ilvl w:val="0"/>
          <w:numId w:val="2"/>
        </w:numPr>
        <w:spacing w:after="80" w:line="276" w:lineRule="auto"/>
      </w:pPr>
      <w:r>
        <w:rPr>
          <w:rFonts w:ascii="Arial" w:eastAsia="Arial" w:hAnsi="Arial" w:cs="Arial"/>
          <w:color w:val="111111"/>
          <w:sz w:val="22"/>
          <w:szCs w:val="22"/>
        </w:rPr>
        <w:t>If another admin account exists, ask that admin to reset your password in Settings → User Management.</w:t>
      </w:r>
    </w:p>
    <w:p w14:paraId="13C5AE6D" w14:textId="77777777" w:rsidR="00A60164" w:rsidRDefault="00414275">
      <w:pPr>
        <w:pStyle w:val="ListParagraph"/>
        <w:numPr>
          <w:ilvl w:val="0"/>
          <w:numId w:val="2"/>
        </w:numPr>
        <w:spacing w:after="80" w:line="276" w:lineRule="auto"/>
      </w:pPr>
      <w:r>
        <w:rPr>
          <w:rFonts w:ascii="Arial" w:eastAsia="Arial" w:hAnsi="Arial" w:cs="Arial"/>
          <w:color w:val="111111"/>
          <w:sz w:val="22"/>
          <w:szCs w:val="22"/>
        </w:rPr>
        <w:t>If no other admin account exists and you cannot recover your password, the database cannot be decrypted. You must uninstall, reinstall,</w:t>
      </w:r>
      <w:r>
        <w:rPr>
          <w:rFonts w:ascii="Arial" w:eastAsia="Arial" w:hAnsi="Arial" w:cs="Arial"/>
          <w:color w:val="111111"/>
          <w:sz w:val="22"/>
          <w:szCs w:val="22"/>
        </w:rPr>
        <w:t xml:space="preserve"> and restore from a backup JSON file (which does not contain your database key).</w:t>
      </w:r>
    </w:p>
    <w:p w14:paraId="21C13842" w14:textId="77777777" w:rsidR="00A60164" w:rsidRDefault="00414275">
      <w:pPr>
        <w:pStyle w:val="Heading2"/>
        <w:spacing w:before="300" w:after="160"/>
      </w:pPr>
      <w:r>
        <w:rPr>
          <w:rFonts w:ascii="Arial" w:eastAsia="Arial" w:hAnsi="Arial" w:cs="Arial"/>
          <w:b/>
          <w:bCs/>
          <w:color w:val="2A7D6B"/>
          <w:sz w:val="32"/>
          <w:szCs w:val="32"/>
        </w:rPr>
        <w:t>AI Features Not Working</w:t>
      </w:r>
    </w:p>
    <w:p w14:paraId="0C97F959" w14:textId="77777777" w:rsidR="00A60164" w:rsidRDefault="00414275">
      <w:pPr>
        <w:pStyle w:val="ListParagraph"/>
        <w:numPr>
          <w:ilvl w:val="0"/>
          <w:numId w:val="2"/>
        </w:numPr>
        <w:spacing w:after="80" w:line="276" w:lineRule="auto"/>
      </w:pPr>
      <w:r>
        <w:rPr>
          <w:rFonts w:ascii="Arial" w:eastAsia="Arial" w:hAnsi="Arial" w:cs="Arial"/>
          <w:color w:val="111111"/>
          <w:sz w:val="22"/>
          <w:szCs w:val="22"/>
        </w:rPr>
        <w:t>Confirm your AI provider and API key are saved in Settings → AI Configuration.</w:t>
      </w:r>
    </w:p>
    <w:p w14:paraId="3D4575BE" w14:textId="77777777" w:rsidR="00A60164" w:rsidRDefault="00414275">
      <w:pPr>
        <w:pStyle w:val="ListParagraph"/>
        <w:numPr>
          <w:ilvl w:val="0"/>
          <w:numId w:val="2"/>
        </w:numPr>
        <w:spacing w:after="80" w:line="276" w:lineRule="auto"/>
      </w:pPr>
      <w:r>
        <w:rPr>
          <w:rFonts w:ascii="Arial" w:eastAsia="Arial" w:hAnsi="Arial" w:cs="Arial"/>
          <w:color w:val="111111"/>
          <w:sz w:val="22"/>
          <w:szCs w:val="22"/>
        </w:rPr>
        <w:t>Verify your Professional licence is active and not expired (check the status bar).</w:t>
      </w:r>
    </w:p>
    <w:p w14:paraId="2CC2CC85" w14:textId="77777777" w:rsidR="00A60164" w:rsidRDefault="00414275">
      <w:pPr>
        <w:pStyle w:val="ListParagraph"/>
        <w:numPr>
          <w:ilvl w:val="0"/>
          <w:numId w:val="2"/>
        </w:numPr>
        <w:spacing w:after="80" w:line="276" w:lineRule="auto"/>
      </w:pPr>
      <w:r>
        <w:rPr>
          <w:rFonts w:ascii="Arial" w:eastAsia="Arial" w:hAnsi="Arial" w:cs="Arial"/>
          <w:color w:val="111111"/>
          <w:sz w:val="22"/>
          <w:szCs w:val="22"/>
        </w:rPr>
        <w:t>Test your API key directly using the provider's web console or API explorer to confirm it is v</w:t>
      </w:r>
      <w:r>
        <w:rPr>
          <w:rFonts w:ascii="Arial" w:eastAsia="Arial" w:hAnsi="Arial" w:cs="Arial"/>
          <w:color w:val="111111"/>
          <w:sz w:val="22"/>
          <w:szCs w:val="22"/>
        </w:rPr>
        <w:t>alid and has sufficient credit or quota.</w:t>
      </w:r>
    </w:p>
    <w:p w14:paraId="482CE3A1" w14:textId="77777777" w:rsidR="00A60164" w:rsidRDefault="00414275">
      <w:pPr>
        <w:pStyle w:val="ListParagraph"/>
        <w:numPr>
          <w:ilvl w:val="0"/>
          <w:numId w:val="2"/>
        </w:numPr>
        <w:spacing w:after="80" w:line="276" w:lineRule="auto"/>
      </w:pPr>
      <w:r>
        <w:rPr>
          <w:rFonts w:ascii="Arial" w:eastAsia="Arial" w:hAnsi="Arial" w:cs="Arial"/>
          <w:color w:val="111111"/>
          <w:sz w:val="22"/>
          <w:szCs w:val="22"/>
        </w:rPr>
        <w:t>Check that your machine can reach the AI provider's API endpoint — a firewall or proxy may be blocking outbound HTTPS.</w:t>
      </w:r>
    </w:p>
    <w:p w14:paraId="7D25851B" w14:textId="77777777" w:rsidR="00A60164" w:rsidRDefault="00414275">
      <w:pPr>
        <w:pStyle w:val="ListParagraph"/>
        <w:numPr>
          <w:ilvl w:val="0"/>
          <w:numId w:val="2"/>
        </w:numPr>
        <w:spacing w:after="80" w:line="276" w:lineRule="auto"/>
      </w:pPr>
      <w:r>
        <w:rPr>
          <w:rFonts w:ascii="Arial" w:eastAsia="Arial" w:hAnsi="Arial" w:cs="Arial"/>
          <w:color w:val="111111"/>
          <w:sz w:val="22"/>
          <w:szCs w:val="22"/>
        </w:rPr>
        <w:t xml:space="preserve">For </w:t>
      </w:r>
      <w:proofErr w:type="spellStart"/>
      <w:r>
        <w:rPr>
          <w:rFonts w:ascii="Arial" w:eastAsia="Arial" w:hAnsi="Arial" w:cs="Arial"/>
          <w:color w:val="111111"/>
          <w:sz w:val="22"/>
          <w:szCs w:val="22"/>
        </w:rPr>
        <w:t>Ollama</w:t>
      </w:r>
      <w:proofErr w:type="spellEnd"/>
      <w:r>
        <w:rPr>
          <w:rFonts w:ascii="Arial" w:eastAsia="Arial" w:hAnsi="Arial" w:cs="Arial"/>
          <w:color w:val="111111"/>
          <w:sz w:val="22"/>
          <w:szCs w:val="22"/>
        </w:rPr>
        <w:t xml:space="preserve">, confirm the </w:t>
      </w:r>
      <w:proofErr w:type="spellStart"/>
      <w:r>
        <w:rPr>
          <w:rFonts w:ascii="Arial" w:eastAsia="Arial" w:hAnsi="Arial" w:cs="Arial"/>
          <w:color w:val="111111"/>
          <w:sz w:val="22"/>
          <w:szCs w:val="22"/>
        </w:rPr>
        <w:t>Ollama</w:t>
      </w:r>
      <w:proofErr w:type="spellEnd"/>
      <w:r>
        <w:rPr>
          <w:rFonts w:ascii="Arial" w:eastAsia="Arial" w:hAnsi="Arial" w:cs="Arial"/>
          <w:color w:val="111111"/>
          <w:sz w:val="22"/>
          <w:szCs w:val="22"/>
        </w:rPr>
        <w:t xml:space="preserve"> service is running locally and the endpoint URL in Settings match</w:t>
      </w:r>
      <w:r>
        <w:rPr>
          <w:rFonts w:ascii="Arial" w:eastAsia="Arial" w:hAnsi="Arial" w:cs="Arial"/>
          <w:color w:val="111111"/>
          <w:sz w:val="22"/>
          <w:szCs w:val="22"/>
        </w:rPr>
        <w:t>es (default: http://localhost:11434).</w:t>
      </w:r>
    </w:p>
    <w:p w14:paraId="2370530C" w14:textId="77777777" w:rsidR="00A60164" w:rsidRDefault="00414275">
      <w:pPr>
        <w:pStyle w:val="Heading2"/>
        <w:spacing w:before="300" w:after="160"/>
      </w:pPr>
      <w:r>
        <w:rPr>
          <w:rFonts w:ascii="Arial" w:eastAsia="Arial" w:hAnsi="Arial" w:cs="Arial"/>
          <w:b/>
          <w:bCs/>
          <w:color w:val="2A7D6B"/>
          <w:sz w:val="32"/>
          <w:szCs w:val="32"/>
        </w:rPr>
        <w:t>Import Not Matching Questions</w:t>
      </w:r>
    </w:p>
    <w:p w14:paraId="272EBF1D" w14:textId="77777777" w:rsidR="00A60164" w:rsidRDefault="00414275">
      <w:pPr>
        <w:pStyle w:val="ListParagraph"/>
        <w:numPr>
          <w:ilvl w:val="0"/>
          <w:numId w:val="2"/>
        </w:numPr>
        <w:spacing w:after="80" w:line="276" w:lineRule="auto"/>
      </w:pPr>
      <w:r>
        <w:rPr>
          <w:rFonts w:ascii="Arial" w:eastAsia="Arial" w:hAnsi="Arial" w:cs="Arial"/>
          <w:color w:val="111111"/>
          <w:sz w:val="22"/>
          <w:szCs w:val="22"/>
        </w:rPr>
        <w:t>Check that you have selected the correct Question column in the column mapping step.</w:t>
      </w:r>
    </w:p>
    <w:p w14:paraId="47668783" w14:textId="77777777" w:rsidR="00A60164" w:rsidRDefault="00414275">
      <w:pPr>
        <w:pStyle w:val="ListParagraph"/>
        <w:numPr>
          <w:ilvl w:val="0"/>
          <w:numId w:val="2"/>
        </w:numPr>
        <w:spacing w:after="80" w:line="276" w:lineRule="auto"/>
      </w:pPr>
      <w:r>
        <w:rPr>
          <w:rFonts w:ascii="Arial" w:eastAsia="Arial" w:hAnsi="Arial" w:cs="Arial"/>
          <w:color w:val="111111"/>
          <w:sz w:val="22"/>
          <w:szCs w:val="22"/>
        </w:rPr>
        <w:lastRenderedPageBreak/>
        <w:t>Confirm the questionnaire language is English — the matching engine is optimised for English-language q</w:t>
      </w:r>
      <w:r>
        <w:rPr>
          <w:rFonts w:ascii="Arial" w:eastAsia="Arial" w:hAnsi="Arial" w:cs="Arial"/>
          <w:color w:val="111111"/>
          <w:sz w:val="22"/>
          <w:szCs w:val="22"/>
        </w:rPr>
        <w:t>uestions.</w:t>
      </w:r>
    </w:p>
    <w:p w14:paraId="43698D79" w14:textId="77777777" w:rsidR="00A60164" w:rsidRDefault="00414275">
      <w:pPr>
        <w:pStyle w:val="ListParagraph"/>
        <w:numPr>
          <w:ilvl w:val="0"/>
          <w:numId w:val="2"/>
        </w:numPr>
        <w:spacing w:after="80" w:line="276" w:lineRule="auto"/>
      </w:pPr>
      <w:r>
        <w:rPr>
          <w:rFonts w:ascii="Arial" w:eastAsia="Arial" w:hAnsi="Arial" w:cs="Arial"/>
          <w:color w:val="111111"/>
          <w:sz w:val="22"/>
          <w:szCs w:val="22"/>
        </w:rPr>
        <w:t>For low match rates, try adding custom answers that use the specific terminology your customer uses.</w:t>
      </w:r>
    </w:p>
    <w:p w14:paraId="43652F7A" w14:textId="77777777" w:rsidR="00A60164" w:rsidRDefault="00414275">
      <w:pPr>
        <w:pStyle w:val="ListParagraph"/>
        <w:numPr>
          <w:ilvl w:val="0"/>
          <w:numId w:val="2"/>
        </w:numPr>
        <w:spacing w:after="80" w:line="276" w:lineRule="auto"/>
      </w:pPr>
      <w:r>
        <w:rPr>
          <w:rFonts w:ascii="Arial" w:eastAsia="Arial" w:hAnsi="Arial" w:cs="Arial"/>
          <w:color w:val="111111"/>
          <w:sz w:val="22"/>
          <w:szCs w:val="22"/>
        </w:rPr>
        <w:t>The matching engine handles common abbreviations (MFA, SSO, SIEM etc.) but may miss highly proprietary vendor-specific jargon.</w:t>
      </w:r>
    </w:p>
    <w:p w14:paraId="1BDB30F7" w14:textId="77777777" w:rsidR="00A60164" w:rsidRDefault="00414275">
      <w:pPr>
        <w:pStyle w:val="ListParagraph"/>
        <w:numPr>
          <w:ilvl w:val="0"/>
          <w:numId w:val="2"/>
        </w:numPr>
        <w:spacing w:after="80" w:line="276" w:lineRule="auto"/>
      </w:pPr>
      <w:r>
        <w:rPr>
          <w:rFonts w:ascii="Arial" w:eastAsia="Arial" w:hAnsi="Arial" w:cs="Arial"/>
          <w:color w:val="111111"/>
          <w:sz w:val="22"/>
          <w:szCs w:val="22"/>
        </w:rPr>
        <w:t>Use AI Auto-Comple</w:t>
      </w:r>
      <w:r>
        <w:rPr>
          <w:rFonts w:ascii="Arial" w:eastAsia="Arial" w:hAnsi="Arial" w:cs="Arial"/>
          <w:color w:val="111111"/>
          <w:sz w:val="22"/>
          <w:szCs w:val="22"/>
        </w:rPr>
        <w:t>te (Professional) for questions that consistently score low confidence.</w:t>
      </w:r>
    </w:p>
    <w:p w14:paraId="42F23ECF" w14:textId="77777777" w:rsidR="00A60164" w:rsidRDefault="00414275">
      <w:pPr>
        <w:pStyle w:val="Heading2"/>
        <w:spacing w:before="300" w:after="160"/>
      </w:pPr>
      <w:r>
        <w:rPr>
          <w:rFonts w:ascii="Arial" w:eastAsia="Arial" w:hAnsi="Arial" w:cs="Arial"/>
          <w:b/>
          <w:bCs/>
          <w:color w:val="2A7D6B"/>
          <w:sz w:val="32"/>
          <w:szCs w:val="32"/>
        </w:rPr>
        <w:t>Windows SmartScreen Warning</w:t>
      </w:r>
    </w:p>
    <w:p w14:paraId="62606530" w14:textId="77777777" w:rsidR="00A60164" w:rsidRDefault="00414275">
      <w:pPr>
        <w:pStyle w:val="ListParagraph"/>
        <w:numPr>
          <w:ilvl w:val="0"/>
          <w:numId w:val="2"/>
        </w:numPr>
        <w:spacing w:after="80" w:line="276" w:lineRule="auto"/>
      </w:pPr>
      <w:r>
        <w:rPr>
          <w:rFonts w:ascii="Arial" w:eastAsia="Arial" w:hAnsi="Arial" w:cs="Arial"/>
          <w:color w:val="111111"/>
          <w:sz w:val="22"/>
          <w:szCs w:val="22"/>
        </w:rPr>
        <w:t>This is expected for applications that are not code-signed with a commercial certificate. Ridgeguard code signing is pending business registration.</w:t>
      </w:r>
    </w:p>
    <w:p w14:paraId="2716C20C" w14:textId="77777777" w:rsidR="00A60164" w:rsidRDefault="00414275">
      <w:pPr>
        <w:pStyle w:val="ListParagraph"/>
        <w:numPr>
          <w:ilvl w:val="0"/>
          <w:numId w:val="2"/>
        </w:numPr>
        <w:spacing w:after="80" w:line="276" w:lineRule="auto"/>
      </w:pPr>
      <w:r>
        <w:rPr>
          <w:rFonts w:ascii="Arial" w:eastAsia="Arial" w:hAnsi="Arial" w:cs="Arial"/>
          <w:color w:val="111111"/>
          <w:sz w:val="22"/>
          <w:szCs w:val="22"/>
        </w:rPr>
        <w:t>Click Mo</w:t>
      </w:r>
      <w:r>
        <w:rPr>
          <w:rFonts w:ascii="Arial" w:eastAsia="Arial" w:hAnsi="Arial" w:cs="Arial"/>
          <w:color w:val="111111"/>
          <w:sz w:val="22"/>
          <w:szCs w:val="22"/>
        </w:rPr>
        <w:t>re info in the SmartScreen dialog, then click Run anyway.</w:t>
      </w:r>
    </w:p>
    <w:p w14:paraId="2F1F1782" w14:textId="77777777" w:rsidR="00A60164" w:rsidRDefault="00414275">
      <w:pPr>
        <w:pStyle w:val="ListParagraph"/>
        <w:numPr>
          <w:ilvl w:val="0"/>
          <w:numId w:val="2"/>
        </w:numPr>
        <w:spacing w:after="80" w:line="276" w:lineRule="auto"/>
      </w:pPr>
      <w:r>
        <w:rPr>
          <w:rFonts w:ascii="Arial" w:eastAsia="Arial" w:hAnsi="Arial" w:cs="Arial"/>
          <w:color w:val="111111"/>
          <w:sz w:val="22"/>
          <w:szCs w:val="22"/>
        </w:rPr>
        <w:t>Alternatively, right-click the installer file, choose Properties, and tick the Unblock checkbox in the Security section at the bottom, then run the installer again.</w:t>
      </w:r>
    </w:p>
    <w:p w14:paraId="56D5A533" w14:textId="0FE16AE1" w:rsidR="00A60164" w:rsidRPr="00F50E95" w:rsidRDefault="00414275">
      <w:pPr>
        <w:pStyle w:val="ListParagraph"/>
        <w:numPr>
          <w:ilvl w:val="0"/>
          <w:numId w:val="2"/>
        </w:numPr>
        <w:spacing w:after="80" w:line="276" w:lineRule="auto"/>
      </w:pPr>
      <w:r>
        <w:rPr>
          <w:rFonts w:ascii="Arial" w:eastAsia="Arial" w:hAnsi="Arial" w:cs="Arial"/>
          <w:color w:val="111111"/>
          <w:sz w:val="22"/>
          <w:szCs w:val="22"/>
        </w:rPr>
        <w:t>You can verify the installer SHA-</w:t>
      </w:r>
      <w:r>
        <w:rPr>
          <w:rFonts w:ascii="Arial" w:eastAsia="Arial" w:hAnsi="Arial" w:cs="Arial"/>
          <w:color w:val="111111"/>
          <w:sz w:val="22"/>
          <w:szCs w:val="22"/>
        </w:rPr>
        <w:t>256 hash against the value published on the Ridgeline website before running it</w:t>
      </w:r>
      <w:r w:rsidR="001B2934">
        <w:rPr>
          <w:rFonts w:ascii="Arial" w:eastAsia="Arial" w:hAnsi="Arial" w:cs="Arial"/>
          <w:color w:val="111111"/>
          <w:sz w:val="22"/>
          <w:szCs w:val="22"/>
        </w:rPr>
        <w:t>.</w:t>
      </w:r>
    </w:p>
    <w:p w14:paraId="55CDE426" w14:textId="77777777" w:rsidR="00F50E95" w:rsidRDefault="00F50E95">
      <w:pPr>
        <w:pStyle w:val="ListParagraph"/>
        <w:numPr>
          <w:ilvl w:val="0"/>
          <w:numId w:val="2"/>
        </w:numPr>
        <w:spacing w:after="80" w:line="276" w:lineRule="auto"/>
      </w:pPr>
    </w:p>
    <w:sectPr w:rsidR="00F50E95">
      <w:footerReference w:type="default" r:id="rId7"/>
      <w:pgSz w:w="11906" w:h="16838"/>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F813E" w14:textId="77777777" w:rsidR="00414275" w:rsidRDefault="00414275">
      <w:r>
        <w:separator/>
      </w:r>
    </w:p>
  </w:endnote>
  <w:endnote w:type="continuationSeparator" w:id="0">
    <w:p w14:paraId="3FC25779" w14:textId="77777777" w:rsidR="00414275" w:rsidRDefault="00414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D2154" w14:textId="77777777" w:rsidR="00A60164" w:rsidRDefault="00414275">
    <w:pPr>
      <w:tabs>
        <w:tab w:val="right" w:pos="8640"/>
      </w:tabs>
    </w:pPr>
    <w:r>
      <w:rPr>
        <w:rFonts w:ascii="Arial" w:eastAsia="Arial" w:hAnsi="Arial" w:cs="Arial"/>
        <w:color w:val="6B7280"/>
        <w:sz w:val="18"/>
        <w:szCs w:val="18"/>
      </w:rPr>
      <w:t>Ridgeline Ridgeguard — User Guide</w:t>
    </w:r>
    <w:r>
      <w:rPr>
        <w:rFonts w:ascii="Arial" w:eastAsia="Arial" w:hAnsi="Arial" w:cs="Arial"/>
        <w:color w:val="6B7280"/>
        <w:sz w:val="18"/>
        <w:szCs w:val="18"/>
      </w:rPr>
      <w:pgNum/>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ACB401" w14:textId="77777777" w:rsidR="00414275" w:rsidRDefault="00414275">
      <w:r>
        <w:separator/>
      </w:r>
    </w:p>
  </w:footnote>
  <w:footnote w:type="continuationSeparator" w:id="0">
    <w:p w14:paraId="4E36A5F5" w14:textId="77777777" w:rsidR="00414275" w:rsidRDefault="004142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917EFF"/>
    <w:multiLevelType w:val="hybridMultilevel"/>
    <w:tmpl w:val="84F64976"/>
    <w:lvl w:ilvl="0" w:tplc="A18E3E32">
      <w:start w:val="1"/>
      <w:numFmt w:val="bullet"/>
      <w:lvlText w:val="●"/>
      <w:lvlJc w:val="left"/>
      <w:pPr>
        <w:ind w:left="720" w:hanging="360"/>
      </w:pPr>
    </w:lvl>
    <w:lvl w:ilvl="1" w:tplc="4E684EB4">
      <w:start w:val="1"/>
      <w:numFmt w:val="bullet"/>
      <w:lvlText w:val="○"/>
      <w:lvlJc w:val="left"/>
      <w:pPr>
        <w:ind w:left="1440" w:hanging="360"/>
      </w:pPr>
    </w:lvl>
    <w:lvl w:ilvl="2" w:tplc="A162D1F4">
      <w:start w:val="1"/>
      <w:numFmt w:val="bullet"/>
      <w:lvlText w:val="■"/>
      <w:lvlJc w:val="left"/>
      <w:pPr>
        <w:ind w:left="2160" w:hanging="360"/>
      </w:pPr>
    </w:lvl>
    <w:lvl w:ilvl="3" w:tplc="21980B12">
      <w:start w:val="1"/>
      <w:numFmt w:val="bullet"/>
      <w:lvlText w:val="●"/>
      <w:lvlJc w:val="left"/>
      <w:pPr>
        <w:ind w:left="2880" w:hanging="360"/>
      </w:pPr>
    </w:lvl>
    <w:lvl w:ilvl="4" w:tplc="2BFCC22E">
      <w:start w:val="1"/>
      <w:numFmt w:val="bullet"/>
      <w:lvlText w:val="○"/>
      <w:lvlJc w:val="left"/>
      <w:pPr>
        <w:ind w:left="3600" w:hanging="360"/>
      </w:pPr>
    </w:lvl>
    <w:lvl w:ilvl="5" w:tplc="F84403DE">
      <w:start w:val="1"/>
      <w:numFmt w:val="bullet"/>
      <w:lvlText w:val="■"/>
      <w:lvlJc w:val="left"/>
      <w:pPr>
        <w:ind w:left="4320" w:hanging="360"/>
      </w:pPr>
    </w:lvl>
    <w:lvl w:ilvl="6" w:tplc="977019B0">
      <w:start w:val="1"/>
      <w:numFmt w:val="bullet"/>
      <w:lvlText w:val="●"/>
      <w:lvlJc w:val="left"/>
      <w:pPr>
        <w:ind w:left="5040" w:hanging="360"/>
      </w:pPr>
    </w:lvl>
    <w:lvl w:ilvl="7" w:tplc="DCF6625A">
      <w:start w:val="1"/>
      <w:numFmt w:val="bullet"/>
      <w:lvlText w:val="●"/>
      <w:lvlJc w:val="left"/>
      <w:pPr>
        <w:ind w:left="5760" w:hanging="360"/>
      </w:pPr>
    </w:lvl>
    <w:lvl w:ilvl="8" w:tplc="7EEA5EA8">
      <w:start w:val="1"/>
      <w:numFmt w:val="bullet"/>
      <w:lvlText w:val="●"/>
      <w:lvlJc w:val="left"/>
      <w:pPr>
        <w:ind w:left="6480" w:hanging="360"/>
      </w:pPr>
    </w:lvl>
  </w:abstractNum>
  <w:abstractNum w:abstractNumId="1" w15:restartNumberingAfterBreak="0">
    <w:nsid w:val="587304B0"/>
    <w:multiLevelType w:val="hybridMultilevel"/>
    <w:tmpl w:val="0DCE1218"/>
    <w:lvl w:ilvl="0" w:tplc="A850A3FC">
      <w:start w:val="1"/>
      <w:numFmt w:val="decimal"/>
      <w:lvlText w:val="%1."/>
      <w:lvlJc w:val="left"/>
      <w:pPr>
        <w:ind w:left="720" w:hanging="360"/>
      </w:pPr>
    </w:lvl>
    <w:lvl w:ilvl="1" w:tplc="A3E88EA8">
      <w:numFmt w:val="decimal"/>
      <w:lvlText w:val=""/>
      <w:lvlJc w:val="left"/>
    </w:lvl>
    <w:lvl w:ilvl="2" w:tplc="3E9C6AC6">
      <w:numFmt w:val="decimal"/>
      <w:lvlText w:val=""/>
      <w:lvlJc w:val="left"/>
    </w:lvl>
    <w:lvl w:ilvl="3" w:tplc="CA327E02">
      <w:numFmt w:val="decimal"/>
      <w:lvlText w:val=""/>
      <w:lvlJc w:val="left"/>
    </w:lvl>
    <w:lvl w:ilvl="4" w:tplc="90D0E1BC">
      <w:numFmt w:val="decimal"/>
      <w:lvlText w:val=""/>
      <w:lvlJc w:val="left"/>
    </w:lvl>
    <w:lvl w:ilvl="5" w:tplc="8F7284F2">
      <w:numFmt w:val="decimal"/>
      <w:lvlText w:val=""/>
      <w:lvlJc w:val="left"/>
    </w:lvl>
    <w:lvl w:ilvl="6" w:tplc="ABB0F85E">
      <w:numFmt w:val="decimal"/>
      <w:lvlText w:val=""/>
      <w:lvlJc w:val="left"/>
    </w:lvl>
    <w:lvl w:ilvl="7" w:tplc="C18CA524">
      <w:numFmt w:val="decimal"/>
      <w:lvlText w:val=""/>
      <w:lvlJc w:val="left"/>
    </w:lvl>
    <w:lvl w:ilvl="8" w:tplc="C128A15C">
      <w:numFmt w:val="decimal"/>
      <w:lvlText w:val=""/>
      <w:lvlJc w:val="left"/>
    </w:lvl>
  </w:abstractNum>
  <w:num w:numId="1">
    <w:abstractNumId w:val="0"/>
    <w:lvlOverride w:ilvl="0">
      <w:startOverride w:val="1"/>
    </w:lvlOverride>
  </w:num>
  <w:num w:numId="2">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rKwNDExNTO1MDQytTBX0lEKTi0uzszPAykwrAUAMlsrniwAAAA="/>
  </w:docVars>
  <w:rsids>
    <w:rsidRoot w:val="00A60164"/>
    <w:rsid w:val="001B2934"/>
    <w:rsid w:val="00414275"/>
    <w:rsid w:val="00A60164"/>
    <w:rsid w:val="00F50E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638D17"/>
  <w15:docId w15:val="{1F86D7CD-F4CC-4F71-9C7A-3F3A5457A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unhideWhenUsed/>
    <w:qFormat/>
    <w:pPr>
      <w:outlineLvl w:val="1"/>
    </w:pPr>
    <w:rPr>
      <w:color w:val="2E74B5"/>
      <w:sz w:val="26"/>
      <w:szCs w:val="26"/>
    </w:rPr>
  </w:style>
  <w:style w:type="paragraph" w:styleId="Heading3">
    <w:name w:val="heading 3"/>
    <w:uiPriority w:val="9"/>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29</Pages>
  <Words>8320</Words>
  <Characters>47427</Characters>
  <Application>Microsoft Office Word</Application>
  <DocSecurity>0</DocSecurity>
  <Lines>395</Lines>
  <Paragraphs>111</Paragraphs>
  <ScaleCrop>false</ScaleCrop>
  <Company/>
  <LinksUpToDate>false</LinksUpToDate>
  <CharactersWithSpaces>55636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Adrian Anglin</cp:lastModifiedBy>
  <cp:revision>3</cp:revision>
  <dcterms:created xsi:type="dcterms:W3CDTF">2026-05-10T13:41:00Z</dcterms:created>
  <dcterms:modified xsi:type="dcterms:W3CDTF">2026-05-10T13:50:00Z</dcterms:modified>
</cp:coreProperties>
</file>