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b/>
          <w:bCs/>
          <w:color w:val="E86A2A"/>
          <w:spacing w:val="40"/>
          <w:sz w:val="18"/>
          <w:szCs w:val="18"/>
        </w:rPr>
        <w:t xml:space="preserve">RIDGELINE CYBER DEFENCE</w:t>
      </w:r>
    </w:p>
    <w:p>
      <w:pPr>
        <w:spacing w:after="80"/>
      </w:pPr>
      <w:r>
        <w:rPr>
          <w:rFonts w:ascii="Arial" w:cs="Arial" w:eastAsia="Arial" w:hAnsi="Arial"/>
          <w:b/>
          <w:bCs/>
          <w:color w:val="111111"/>
          <w:sz w:val="56"/>
          <w:szCs w:val="56"/>
        </w:rPr>
        <w:t xml:space="preserve">Mini Policy Pack</w:t>
      </w:r>
    </w:p>
    <w:p>
      <w:pPr>
        <w:pBdr>
          <w:bottom w:val="single" w:color="E86A2A" w:sz="12" w:space="8"/>
        </w:pBdr>
        <w:spacing w:after="160"/>
      </w:pPr>
      <w:r>
        <w:rPr>
          <w:rFonts w:ascii="Arial" w:cs="Arial" w:eastAsia="Arial" w:hAnsi="Arial"/>
          <w:i/>
          <w:iCs/>
          <w:color w:val="5A5048"/>
          <w:sz w:val="24"/>
          <w:szCs w:val="24"/>
        </w:rPr>
        <w:t xml:space="preserve">Three foundational security policies. Complete, editable, and ready to adopt.</w:t>
      </w:r>
    </w:p>
    <w:p>
      <w:pPr>
        <w:spacing w:after="140"/>
      </w:pPr>
      <w:r>
        <w:rPr>
          <w:rFonts w:ascii="Arial" w:cs="Arial" w:eastAsia="Arial" w:hAnsi="Arial"/>
          <w:color w:val="1A1612"/>
          <w:sz w:val="22"/>
          <w:szCs w:val="22"/>
        </w:rPr>
        <w:t xml:space="preserve">This pack contains three of the core policies every security program needs, taken from our Security Program Foundation toolkit. They are complete working documents, not outlines or teasers. Open them, replace the bracketed fields with your organization's details, and you have a defensible starting point you can put in front of an auditor or a customer this week.</w:t>
      </w:r>
    </w:p>
    <w:p>
      <w:pPr>
        <w:spacing w:after="100" w:before="220"/>
      </w:pPr>
      <w:r>
        <w:rPr>
          <w:rFonts w:ascii="Arial" w:cs="Arial" w:eastAsia="Arial" w:hAnsi="Arial"/>
          <w:b/>
          <w:bCs/>
          <w:color w:val="1A4A5C"/>
          <w:sz w:val="26"/>
          <w:szCs w:val="26"/>
        </w:rPr>
        <w:t xml:space="preserve">What's inside</w:t>
      </w:r>
    </w:p>
    <w:p>
      <w:pPr>
        <w:pStyle w:val="ListParagraph"/>
        <w:numPr>
          <w:ilvl w:val="0"/>
          <w:numId w:val="2"/>
        </w:numPr>
        <w:spacing w:after="100"/>
      </w:pPr>
      <w:r>
        <w:rPr>
          <w:rFonts w:ascii="Arial" w:cs="Arial" w:eastAsia="Arial" w:hAnsi="Arial"/>
          <w:b/>
          <w:bCs/>
          <w:color w:val="111111"/>
          <w:sz w:val="22"/>
          <w:szCs w:val="22"/>
        </w:rPr>
        <w:t xml:space="preserve">Information Security Policy. </w:t>
      </w:r>
      <w:r>
        <w:rPr>
          <w:rFonts w:ascii="Arial" w:cs="Arial" w:eastAsia="Arial" w:hAnsi="Arial"/>
          <w:color w:val="1A1612"/>
          <w:sz w:val="22"/>
          <w:szCs w:val="22"/>
        </w:rPr>
        <w:t xml:space="preserve">The governing document for your program. It sets the direction, scope, roles, and the control areas every other policy and procedure references.</w:t>
      </w:r>
    </w:p>
    <w:p>
      <w:pPr>
        <w:pStyle w:val="ListParagraph"/>
        <w:numPr>
          <w:ilvl w:val="0"/>
          <w:numId w:val="2"/>
        </w:numPr>
        <w:spacing w:after="100"/>
      </w:pPr>
      <w:r>
        <w:rPr>
          <w:rFonts w:ascii="Arial" w:cs="Arial" w:eastAsia="Arial" w:hAnsi="Arial"/>
          <w:b/>
          <w:bCs/>
          <w:color w:val="111111"/>
          <w:sz w:val="22"/>
          <w:szCs w:val="22"/>
        </w:rPr>
        <w:t xml:space="preserve">Acceptable Use Policy. </w:t>
      </w:r>
      <w:r>
        <w:rPr>
          <w:rFonts w:ascii="Arial" w:cs="Arial" w:eastAsia="Arial" w:hAnsi="Arial"/>
          <w:color w:val="1A1612"/>
          <w:sz w:val="22"/>
          <w:szCs w:val="22"/>
        </w:rPr>
        <w:t xml:space="preserve">The rules for how your people use company systems, data, and devices. The first policy auditors, HR, and new starters ask to see.</w:t>
      </w:r>
    </w:p>
    <w:p>
      <w:pPr>
        <w:pStyle w:val="ListParagraph"/>
        <w:numPr>
          <w:ilvl w:val="0"/>
          <w:numId w:val="2"/>
        </w:numPr>
        <w:spacing w:after="100"/>
      </w:pPr>
      <w:r>
        <w:rPr>
          <w:rFonts w:ascii="Arial" w:cs="Arial" w:eastAsia="Arial" w:hAnsi="Arial"/>
          <w:b/>
          <w:bCs/>
          <w:color w:val="111111"/>
          <w:sz w:val="22"/>
          <w:szCs w:val="22"/>
        </w:rPr>
        <w:t xml:space="preserve">Incident Response Plan. </w:t>
      </w:r>
      <w:r>
        <w:rPr>
          <w:rFonts w:ascii="Arial" w:cs="Arial" w:eastAsia="Arial" w:hAnsi="Arial"/>
          <w:color w:val="1A1612"/>
          <w:sz w:val="22"/>
          <w:szCs w:val="22"/>
        </w:rPr>
        <w:t xml:space="preserve">A structured, repeatable process for detecting, containing, and recovering from security incidents before they escalate into a crisis.</w:t>
      </w:r>
    </w:p>
    <w:p>
      <w:pPr>
        <w:spacing w:after="100" w:before="220"/>
      </w:pPr>
      <w:r>
        <w:rPr>
          <w:rFonts w:ascii="Arial" w:cs="Arial" w:eastAsia="Arial" w:hAnsi="Arial"/>
          <w:b/>
          <w:bCs/>
          <w:color w:val="1A4A5C"/>
          <w:sz w:val="26"/>
          <w:szCs w:val="26"/>
        </w:rPr>
        <w:t xml:space="preserve">How to use them</w:t>
      </w:r>
    </w:p>
    <w:p>
      <w:pPr>
        <w:pStyle w:val="ListParagraph"/>
        <w:numPr>
          <w:ilvl w:val="0"/>
          <w:numId w:val="3"/>
        </w:numPr>
        <w:spacing w:after="80"/>
      </w:pPr>
      <w:r>
        <w:rPr>
          <w:rFonts w:ascii="Arial" w:cs="Arial" w:eastAsia="Arial" w:hAnsi="Arial"/>
          <w:color w:val="1A1612"/>
          <w:sz w:val="22"/>
          <w:szCs w:val="22"/>
        </w:rPr>
        <w:t xml:space="preserve">Replace every [bracketed] field with your organization's own details.</w:t>
      </w:r>
    </w:p>
    <w:p>
      <w:pPr>
        <w:pStyle w:val="ListParagraph"/>
        <w:numPr>
          <w:ilvl w:val="0"/>
          <w:numId w:val="3"/>
        </w:numPr>
        <w:spacing w:after="80"/>
      </w:pPr>
      <w:r>
        <w:rPr>
          <w:rFonts w:ascii="Arial" w:cs="Arial" w:eastAsia="Arial" w:hAnsi="Arial"/>
          <w:color w:val="1A1612"/>
          <w:sz w:val="22"/>
          <w:szCs w:val="22"/>
        </w:rPr>
        <w:t xml:space="preserve">Adjust the control statements and thresholds so they match how you actually operate.</w:t>
      </w:r>
    </w:p>
    <w:p>
      <w:pPr>
        <w:pStyle w:val="ListParagraph"/>
        <w:numPr>
          <w:ilvl w:val="0"/>
          <w:numId w:val="3"/>
        </w:numPr>
        <w:spacing w:after="80"/>
      </w:pPr>
      <w:r>
        <w:rPr>
          <w:rFonts w:ascii="Arial" w:cs="Arial" w:eastAsia="Arial" w:hAnsi="Arial"/>
          <w:color w:val="1A1612"/>
          <w:sz w:val="22"/>
          <w:szCs w:val="22"/>
        </w:rPr>
        <w:t xml:space="preserve">Have the named owner review and approve each one, then publish to your team.</w:t>
      </w:r>
    </w:p>
    <w:p>
      <w:pPr>
        <w:pStyle w:val="ListParagraph"/>
        <w:numPr>
          <w:ilvl w:val="0"/>
          <w:numId w:val="3"/>
        </w:numPr>
        <w:spacing w:after="80"/>
      </w:pPr>
      <w:r>
        <w:rPr>
          <w:rFonts w:ascii="Arial" w:cs="Arial" w:eastAsia="Arial" w:hAnsi="Arial"/>
          <w:color w:val="1A1612"/>
          <w:sz w:val="22"/>
          <w:szCs w:val="22"/>
        </w:rPr>
        <w:t xml:space="preserve">Re-review on the cadence stated inside each document, or after any significant change.</w:t>
      </w:r>
    </w:p>
    <w:p>
      <w:pPr>
        <w:spacing w:after="100" w:before="220"/>
      </w:pPr>
      <w:r>
        <w:rPr>
          <w:rFonts w:ascii="Arial" w:cs="Arial" w:eastAsia="Arial" w:hAnsi="Arial"/>
          <w:b/>
          <w:bCs/>
          <w:color w:val="1A4A5C"/>
          <w:sz w:val="26"/>
          <w:szCs w:val="26"/>
        </w:rPr>
        <w:t xml:space="preserve">When you need the whole program</w:t>
      </w:r>
    </w:p>
    <w:p>
      <w:pPr>
        <w:spacing w:after="140"/>
      </w:pPr>
      <w:r>
        <w:rPr>
          <w:rFonts w:ascii="Arial" w:cs="Arial" w:eastAsia="Arial" w:hAnsi="Arial"/>
          <w:color w:val="1A1612"/>
          <w:sz w:val="22"/>
          <w:szCs w:val="22"/>
        </w:rPr>
        <w:t xml:space="preserve">Three policies are the start of a security program, not the whole of one. The Security Program Foundation toolkit gives you the full set: 35 documents spanning governance, risk, access control, data protection, vendor management, and the evidence trackers auditors and enterprise customers ask for. One-time purchase, fully editable, and every future update included.</w:t>
      </w:r>
    </w:p>
    <w:p>
      <w:pPr>
        <w:spacing w:before="40"/>
      </w:pPr>
      <w:r>
        <w:rPr>
          <w:rFonts w:ascii="Arial" w:cs="Arial" w:eastAsia="Arial" w:hAnsi="Arial"/>
          <w:b/>
          <w:bCs/>
          <w:color w:val="111111"/>
          <w:sz w:val="22"/>
          <w:szCs w:val="22"/>
        </w:rPr>
        <w:t xml:space="preserve">See the full toolkit:  </w:t>
      </w:r>
      <w:hyperlink w:history="1" r:id="rIdczj_ucls50mbhan6jkqe1">
        <w:r>
          <w:rPr>
            <w:rFonts w:ascii="Arial" w:cs="Arial" w:eastAsia="Arial" w:hAnsi="Arial"/>
            <w:b/>
            <w:bCs/>
            <w:color w:val="E86A2A"/>
            <w:sz w:val="22"/>
            <w:szCs w:val="22"/>
            <w:u w:val="single"/>
          </w:rPr>
          <w:t xml:space="preserve">ridgelinecyber.com/products/security-program-foundation</w:t>
        </w:r>
      </w:hyperlink>
    </w:p>
    <w:sectPr>
      <w:footerReference w:type="default" r:id="rId7"/>
      <w:pgSz w:w="12240" w:h="15840" w:orient="portrait"/>
      <w:pgMar w:top="1440" w:right="1440" w:bottom="126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4CBBE" w:sz="6" w:space="8"/>
      </w:pBdr>
    </w:pPr>
    <w:r>
      <w:rPr>
        <w:rFonts w:ascii="Arial" w:cs="Arial" w:eastAsia="Arial" w:hAnsi="Arial"/>
        <w:color w:val="5A5048"/>
        <w:sz w:val="16"/>
        <w:szCs w:val="16"/>
      </w:rPr>
      <w:t xml:space="preserve">Ridgeline Cyber Defence  ·  ridgelinecyber.com  ·  Free resource, share it freely.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80"/>
      </w:pPr>
      <w:rPr>
        <w:color w:val="E86A2A"/>
      </w:rPr>
    </w:lvl>
  </w:abstractNum>
  <w:abstractNum w:abstractNumId="3" w15:restartNumberingAfterBreak="0">
    <w:multiLevelType w:val="hybridMultilevel"/>
    <w:lvl w:ilvl="0" w15:tentative="1">
      <w:start w:val="1"/>
      <w:numFmt w:val="decimal"/>
      <w:lvlText w:val="%1."/>
      <w:lvlJc w:val="left"/>
      <w:pPr>
        <w:ind w:left="4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czj_ucls50mbhan6jkqe1" Type="http://schemas.openxmlformats.org/officeDocument/2006/relationships/hyperlink" Target="https://ridgelinecyber.com/products/security-program-foundation/" TargetMode="Externa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2026-06-21T15:50:58.894Z</dcterms:created>
  <dcterms:modified xsi:type="dcterms:W3CDTF">2026-06-21T15:50:58.894Z</dcterms:modified>
</cp:coreProperties>
</file>

<file path=docProps/custom.xml><?xml version="1.0" encoding="utf-8"?>
<Properties xmlns="http://schemas.openxmlformats.org/officeDocument/2006/custom-properties" xmlns:vt="http://schemas.openxmlformats.org/officeDocument/2006/docPropsVTypes"/>
</file>